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黑体"/>
          <w:color w:val="auto"/>
          <w:kern w:val="0"/>
          <w:szCs w:val="32"/>
          <w:lang w:val="en-US" w:eastAsia="zh-CN"/>
        </w:rPr>
      </w:pPr>
      <w:r>
        <w:rPr>
          <w:rFonts w:hint="eastAsia" w:ascii="黑体" w:eastAsia="黑体"/>
          <w:bCs/>
          <w:color w:val="auto"/>
          <w:kern w:val="0"/>
          <w:sz w:val="32"/>
          <w:szCs w:val="32"/>
        </w:rPr>
        <w:t>附件</w:t>
      </w:r>
      <w:r>
        <w:rPr>
          <w:rFonts w:hint="eastAsia" w:ascii="黑体" w:eastAsia="黑体"/>
          <w:bCs/>
          <w:color w:val="auto"/>
          <w:kern w:val="0"/>
          <w:sz w:val="32"/>
          <w:szCs w:val="32"/>
          <w:lang w:val="en-US" w:eastAsia="zh-CN"/>
        </w:rPr>
        <w:t>1</w:t>
      </w:r>
    </w:p>
    <w:p>
      <w:pPr>
        <w:spacing w:line="520" w:lineRule="exact"/>
        <w:jc w:val="center"/>
        <w:rPr>
          <w:rFonts w:ascii="宋体"/>
          <w:b/>
          <w:color w:val="auto"/>
          <w:sz w:val="36"/>
          <w:szCs w:val="36"/>
        </w:rPr>
      </w:pPr>
      <w:r>
        <w:rPr>
          <w:rFonts w:hint="eastAsia" w:ascii="宋体"/>
          <w:b/>
          <w:color w:val="auto"/>
          <w:sz w:val="36"/>
          <w:szCs w:val="36"/>
        </w:rPr>
        <w:t>福建省</w:t>
      </w:r>
      <w:r>
        <w:rPr>
          <w:rFonts w:hint="eastAsia" w:ascii="宋体"/>
          <w:b/>
          <w:color w:val="auto"/>
          <w:sz w:val="36"/>
          <w:szCs w:val="36"/>
          <w:lang w:eastAsia="zh-CN"/>
        </w:rPr>
        <w:t>2024年</w:t>
      </w:r>
      <w:r>
        <w:rPr>
          <w:rFonts w:hint="eastAsia" w:ascii="宋体"/>
          <w:b/>
          <w:color w:val="auto"/>
          <w:sz w:val="36"/>
          <w:szCs w:val="36"/>
        </w:rPr>
        <w:t>省级“三支一扶”计划省外高校福建生源毕业生报名人员考核汇总表</w:t>
      </w:r>
    </w:p>
    <w:p>
      <w:pPr>
        <w:spacing w:line="5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学校：（盖章）</w:t>
      </w:r>
    </w:p>
    <w:tbl>
      <w:tblPr>
        <w:tblStyle w:val="3"/>
        <w:tblW w:w="1518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49"/>
        <w:gridCol w:w="629"/>
        <w:gridCol w:w="698"/>
        <w:gridCol w:w="593"/>
        <w:gridCol w:w="764"/>
        <w:gridCol w:w="765"/>
        <w:gridCol w:w="571"/>
        <w:gridCol w:w="571"/>
        <w:gridCol w:w="607"/>
        <w:gridCol w:w="1036"/>
        <w:gridCol w:w="965"/>
        <w:gridCol w:w="853"/>
        <w:gridCol w:w="1003"/>
        <w:gridCol w:w="892"/>
        <w:gridCol w:w="1109"/>
        <w:gridCol w:w="157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身份证号</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生源地（精确到县）</w:t>
            </w:r>
          </w:p>
        </w:tc>
        <w:tc>
          <w:tcPr>
            <w:tcW w:w="5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是否属全日制毕业生</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auto"/>
                <w:sz w:val="24"/>
              </w:rPr>
            </w:pPr>
            <w:r>
              <w:rPr>
                <w:rFonts w:hint="default" w:ascii="仿宋_GB2312" w:hAnsi="仿宋_GB2312" w:eastAsia="仿宋_GB2312" w:cs="仿宋_GB2312"/>
                <w:b/>
                <w:bCs/>
                <w:color w:val="auto"/>
                <w:sz w:val="24"/>
              </w:rPr>
              <w:t>毕业时间</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6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是否有违法违纪违规行为</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必修（主修）科目是否达标</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报名单位</w:t>
            </w:r>
          </w:p>
        </w:tc>
        <w:tc>
          <w:tcPr>
            <w:tcW w:w="10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专业成绩排名得分</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w:t>
            </w:r>
            <w:r>
              <w:rPr>
                <w:rFonts w:ascii="仿宋_GB2312" w:hAnsi="仿宋_GB2312" w:eastAsia="仿宋_GB2312" w:cs="仿宋_GB2312"/>
                <w:b/>
                <w:bCs/>
                <w:color w:val="auto"/>
                <w:sz w:val="24"/>
              </w:rPr>
              <w:t>%</w:t>
            </w:r>
            <w:r>
              <w:rPr>
                <w:rFonts w:hint="eastAsia" w:ascii="仿宋_GB2312" w:hAnsi="仿宋_GB2312" w:eastAsia="仿宋_GB2312" w:cs="仿宋_GB2312"/>
                <w:b/>
                <w:bCs/>
                <w:color w:val="auto"/>
                <w:sz w:val="24"/>
                <w:lang w:eastAsia="zh-CN"/>
              </w:rPr>
              <w:t>，</w:t>
            </w:r>
            <w:r>
              <w:rPr>
                <w:rFonts w:hint="eastAsia" w:ascii="仿宋_GB2312" w:hAnsi="仿宋_GB2312" w:eastAsia="仿宋_GB2312" w:cs="仿宋_GB2312"/>
                <w:b/>
                <w:bCs/>
                <w:color w:val="auto"/>
                <w:sz w:val="24"/>
                <w:lang w:val="en-US" w:eastAsia="zh-CN"/>
              </w:rPr>
              <w:t>精确到小数点后两位</w:t>
            </w:r>
            <w:r>
              <w:rPr>
                <w:rFonts w:hint="eastAsia" w:ascii="仿宋_GB2312" w:hAnsi="仿宋_GB2312" w:eastAsia="仿宋_GB2312" w:cs="仿宋_GB2312"/>
                <w:b/>
                <w:bCs/>
                <w:color w:val="auto"/>
                <w:sz w:val="24"/>
              </w:rPr>
              <w:t>）</w:t>
            </w: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情况得分</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426" w:type="dxa"/>
            <w:vAlign w:val="center"/>
          </w:tcPr>
          <w:p>
            <w:pPr>
              <w:spacing w:line="520" w:lineRule="exact"/>
              <w:jc w:val="center"/>
              <w:rPr>
                <w:rFonts w:ascii="仿宋_GB2312"/>
                <w:color w:val="auto"/>
                <w:sz w:val="24"/>
              </w:rPr>
            </w:pPr>
          </w:p>
        </w:tc>
        <w:tc>
          <w:tcPr>
            <w:tcW w:w="549" w:type="dxa"/>
            <w:vAlign w:val="center"/>
          </w:tcPr>
          <w:p>
            <w:pPr>
              <w:spacing w:line="520" w:lineRule="exact"/>
              <w:jc w:val="center"/>
              <w:rPr>
                <w:rFonts w:ascii="仿宋_GB2312"/>
                <w:color w:val="auto"/>
                <w:sz w:val="24"/>
              </w:rPr>
            </w:pPr>
          </w:p>
        </w:tc>
        <w:tc>
          <w:tcPr>
            <w:tcW w:w="629" w:type="dxa"/>
            <w:vAlign w:val="center"/>
          </w:tcPr>
          <w:p>
            <w:pPr>
              <w:spacing w:line="520" w:lineRule="exact"/>
              <w:jc w:val="center"/>
              <w:rPr>
                <w:rFonts w:ascii="仿宋_GB2312"/>
                <w:color w:val="auto"/>
                <w:sz w:val="24"/>
              </w:rPr>
            </w:pPr>
          </w:p>
        </w:tc>
        <w:tc>
          <w:tcPr>
            <w:tcW w:w="698"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764" w:type="dxa"/>
            <w:vAlign w:val="center"/>
          </w:tcPr>
          <w:p>
            <w:pPr>
              <w:spacing w:line="520" w:lineRule="exact"/>
              <w:jc w:val="center"/>
              <w:rPr>
                <w:rFonts w:ascii="仿宋_GB2312"/>
                <w:color w:val="auto"/>
                <w:sz w:val="24"/>
              </w:rPr>
            </w:pPr>
          </w:p>
        </w:tc>
        <w:tc>
          <w:tcPr>
            <w:tcW w:w="765" w:type="dxa"/>
            <w:vAlign w:val="center"/>
          </w:tcPr>
          <w:p>
            <w:pPr>
              <w:spacing w:line="520" w:lineRule="exact"/>
              <w:jc w:val="center"/>
              <w:rPr>
                <w:rFonts w:ascii="仿宋_GB2312"/>
                <w:color w:val="auto"/>
                <w:sz w:val="24"/>
              </w:rPr>
            </w:pPr>
          </w:p>
        </w:tc>
        <w:tc>
          <w:tcPr>
            <w:tcW w:w="571" w:type="dxa"/>
            <w:vAlign w:val="center"/>
          </w:tcPr>
          <w:p>
            <w:pPr>
              <w:spacing w:line="520" w:lineRule="exact"/>
              <w:jc w:val="center"/>
              <w:rPr>
                <w:rFonts w:ascii="仿宋_GB2312"/>
                <w:color w:val="auto"/>
                <w:sz w:val="24"/>
              </w:rPr>
            </w:pPr>
          </w:p>
        </w:tc>
        <w:tc>
          <w:tcPr>
            <w:tcW w:w="571" w:type="dxa"/>
            <w:vAlign w:val="center"/>
          </w:tcPr>
          <w:p>
            <w:pPr>
              <w:spacing w:line="520" w:lineRule="exact"/>
              <w:jc w:val="center"/>
              <w:rPr>
                <w:rFonts w:ascii="仿宋_GB2312"/>
                <w:color w:val="auto"/>
                <w:sz w:val="24"/>
              </w:rPr>
            </w:pPr>
          </w:p>
        </w:tc>
        <w:tc>
          <w:tcPr>
            <w:tcW w:w="607" w:type="dxa"/>
            <w:vAlign w:val="center"/>
          </w:tcPr>
          <w:p>
            <w:pPr>
              <w:spacing w:line="520" w:lineRule="exact"/>
              <w:jc w:val="center"/>
              <w:rPr>
                <w:rFonts w:ascii="仿宋_GB2312"/>
                <w:color w:val="auto"/>
                <w:sz w:val="24"/>
              </w:rPr>
            </w:pPr>
          </w:p>
        </w:tc>
        <w:tc>
          <w:tcPr>
            <w:tcW w:w="1036" w:type="dxa"/>
            <w:vAlign w:val="center"/>
          </w:tcPr>
          <w:p>
            <w:pPr>
              <w:spacing w:line="520" w:lineRule="exact"/>
              <w:jc w:val="center"/>
              <w:rPr>
                <w:rFonts w:ascii="仿宋_GB2312"/>
                <w:color w:val="auto"/>
                <w:sz w:val="24"/>
              </w:rPr>
            </w:pPr>
          </w:p>
        </w:tc>
        <w:tc>
          <w:tcPr>
            <w:tcW w:w="965" w:type="dxa"/>
            <w:vAlign w:val="center"/>
          </w:tcPr>
          <w:p>
            <w:pPr>
              <w:spacing w:line="520" w:lineRule="exact"/>
              <w:jc w:val="center"/>
              <w:rPr>
                <w:rFonts w:ascii="仿宋_GB2312"/>
                <w:color w:val="auto"/>
                <w:sz w:val="24"/>
              </w:rPr>
            </w:pPr>
          </w:p>
        </w:tc>
        <w:tc>
          <w:tcPr>
            <w:tcW w:w="853" w:type="dxa"/>
            <w:vAlign w:val="center"/>
          </w:tcPr>
          <w:p>
            <w:pPr>
              <w:spacing w:line="520" w:lineRule="exact"/>
              <w:jc w:val="center"/>
              <w:rPr>
                <w:rFonts w:ascii="仿宋_GB2312"/>
                <w:color w:val="auto"/>
                <w:sz w:val="24"/>
              </w:rPr>
            </w:pPr>
          </w:p>
        </w:tc>
        <w:tc>
          <w:tcPr>
            <w:tcW w:w="1003" w:type="dxa"/>
            <w:vAlign w:val="center"/>
          </w:tcPr>
          <w:p>
            <w:pPr>
              <w:spacing w:line="520" w:lineRule="exact"/>
              <w:jc w:val="center"/>
              <w:rPr>
                <w:rFonts w:ascii="仿宋_GB2312"/>
                <w:color w:val="auto"/>
                <w:sz w:val="24"/>
              </w:rPr>
            </w:pPr>
          </w:p>
        </w:tc>
        <w:tc>
          <w:tcPr>
            <w:tcW w:w="892" w:type="dxa"/>
            <w:vAlign w:val="center"/>
          </w:tcPr>
          <w:p>
            <w:pPr>
              <w:spacing w:line="520" w:lineRule="exact"/>
              <w:jc w:val="center"/>
              <w:rPr>
                <w:rFonts w:ascii="仿宋_GB2312"/>
                <w:color w:val="auto"/>
                <w:sz w:val="24"/>
              </w:rPr>
            </w:pPr>
          </w:p>
        </w:tc>
        <w:tc>
          <w:tcPr>
            <w:tcW w:w="1109" w:type="dxa"/>
            <w:vAlign w:val="center"/>
          </w:tcPr>
          <w:p>
            <w:pPr>
              <w:spacing w:line="520" w:lineRule="exact"/>
              <w:jc w:val="center"/>
              <w:rPr>
                <w:rFonts w:ascii="仿宋_GB2312"/>
                <w:color w:val="auto"/>
                <w:sz w:val="24"/>
              </w:rPr>
            </w:pPr>
          </w:p>
        </w:tc>
        <w:tc>
          <w:tcPr>
            <w:tcW w:w="1579" w:type="dxa"/>
            <w:vAlign w:val="center"/>
          </w:tcPr>
          <w:p>
            <w:pPr>
              <w:spacing w:line="520" w:lineRule="exact"/>
              <w:jc w:val="center"/>
              <w:rPr>
                <w:rFonts w:ascii="仿宋_GB2312"/>
                <w:color w:val="auto"/>
                <w:sz w:val="24"/>
              </w:rPr>
            </w:pPr>
          </w:p>
        </w:tc>
        <w:tc>
          <w:tcPr>
            <w:tcW w:w="1579"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426" w:type="dxa"/>
            <w:vAlign w:val="center"/>
          </w:tcPr>
          <w:p>
            <w:pPr>
              <w:spacing w:line="520" w:lineRule="exact"/>
              <w:jc w:val="center"/>
              <w:rPr>
                <w:rFonts w:ascii="仿宋_GB2312"/>
                <w:color w:val="auto"/>
                <w:sz w:val="24"/>
              </w:rPr>
            </w:pPr>
          </w:p>
        </w:tc>
        <w:tc>
          <w:tcPr>
            <w:tcW w:w="549" w:type="dxa"/>
            <w:vAlign w:val="center"/>
          </w:tcPr>
          <w:p>
            <w:pPr>
              <w:spacing w:line="520" w:lineRule="exact"/>
              <w:jc w:val="center"/>
              <w:rPr>
                <w:rFonts w:ascii="仿宋_GB2312"/>
                <w:color w:val="auto"/>
                <w:sz w:val="24"/>
              </w:rPr>
            </w:pPr>
          </w:p>
        </w:tc>
        <w:tc>
          <w:tcPr>
            <w:tcW w:w="629" w:type="dxa"/>
            <w:vAlign w:val="center"/>
          </w:tcPr>
          <w:p>
            <w:pPr>
              <w:spacing w:line="520" w:lineRule="exact"/>
              <w:jc w:val="center"/>
              <w:rPr>
                <w:rFonts w:ascii="仿宋_GB2312"/>
                <w:color w:val="auto"/>
                <w:sz w:val="24"/>
              </w:rPr>
            </w:pPr>
          </w:p>
        </w:tc>
        <w:tc>
          <w:tcPr>
            <w:tcW w:w="698"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764" w:type="dxa"/>
            <w:vAlign w:val="center"/>
          </w:tcPr>
          <w:p>
            <w:pPr>
              <w:spacing w:line="520" w:lineRule="exact"/>
              <w:jc w:val="center"/>
              <w:rPr>
                <w:rFonts w:ascii="仿宋_GB2312"/>
                <w:color w:val="auto"/>
                <w:sz w:val="24"/>
              </w:rPr>
            </w:pPr>
          </w:p>
        </w:tc>
        <w:tc>
          <w:tcPr>
            <w:tcW w:w="765" w:type="dxa"/>
            <w:vAlign w:val="center"/>
          </w:tcPr>
          <w:p>
            <w:pPr>
              <w:spacing w:line="520" w:lineRule="exact"/>
              <w:jc w:val="center"/>
              <w:rPr>
                <w:rFonts w:ascii="仿宋_GB2312"/>
                <w:color w:val="auto"/>
                <w:sz w:val="24"/>
              </w:rPr>
            </w:pPr>
          </w:p>
        </w:tc>
        <w:tc>
          <w:tcPr>
            <w:tcW w:w="571" w:type="dxa"/>
            <w:vAlign w:val="center"/>
          </w:tcPr>
          <w:p>
            <w:pPr>
              <w:spacing w:line="520" w:lineRule="exact"/>
              <w:jc w:val="center"/>
              <w:rPr>
                <w:rFonts w:ascii="仿宋_GB2312"/>
                <w:color w:val="auto"/>
                <w:sz w:val="24"/>
              </w:rPr>
            </w:pPr>
          </w:p>
        </w:tc>
        <w:tc>
          <w:tcPr>
            <w:tcW w:w="571" w:type="dxa"/>
            <w:vAlign w:val="center"/>
          </w:tcPr>
          <w:p>
            <w:pPr>
              <w:spacing w:line="520" w:lineRule="exact"/>
              <w:jc w:val="center"/>
              <w:rPr>
                <w:rFonts w:ascii="仿宋_GB2312"/>
                <w:color w:val="auto"/>
                <w:sz w:val="24"/>
              </w:rPr>
            </w:pPr>
          </w:p>
        </w:tc>
        <w:tc>
          <w:tcPr>
            <w:tcW w:w="607" w:type="dxa"/>
            <w:vAlign w:val="center"/>
          </w:tcPr>
          <w:p>
            <w:pPr>
              <w:spacing w:line="520" w:lineRule="exact"/>
              <w:jc w:val="center"/>
              <w:rPr>
                <w:rFonts w:ascii="仿宋_GB2312"/>
                <w:color w:val="auto"/>
                <w:sz w:val="24"/>
              </w:rPr>
            </w:pPr>
          </w:p>
        </w:tc>
        <w:tc>
          <w:tcPr>
            <w:tcW w:w="1036" w:type="dxa"/>
            <w:vAlign w:val="center"/>
          </w:tcPr>
          <w:p>
            <w:pPr>
              <w:spacing w:line="520" w:lineRule="exact"/>
              <w:jc w:val="center"/>
              <w:rPr>
                <w:rFonts w:ascii="仿宋_GB2312"/>
                <w:color w:val="auto"/>
                <w:sz w:val="24"/>
              </w:rPr>
            </w:pPr>
          </w:p>
        </w:tc>
        <w:tc>
          <w:tcPr>
            <w:tcW w:w="965" w:type="dxa"/>
            <w:vAlign w:val="center"/>
          </w:tcPr>
          <w:p>
            <w:pPr>
              <w:spacing w:line="520" w:lineRule="exact"/>
              <w:jc w:val="center"/>
              <w:rPr>
                <w:rFonts w:ascii="仿宋_GB2312"/>
                <w:color w:val="auto"/>
                <w:sz w:val="24"/>
              </w:rPr>
            </w:pPr>
          </w:p>
        </w:tc>
        <w:tc>
          <w:tcPr>
            <w:tcW w:w="853" w:type="dxa"/>
            <w:vAlign w:val="center"/>
          </w:tcPr>
          <w:p>
            <w:pPr>
              <w:spacing w:line="520" w:lineRule="exact"/>
              <w:jc w:val="center"/>
              <w:rPr>
                <w:rFonts w:ascii="仿宋_GB2312"/>
                <w:color w:val="auto"/>
                <w:sz w:val="24"/>
              </w:rPr>
            </w:pPr>
          </w:p>
        </w:tc>
        <w:tc>
          <w:tcPr>
            <w:tcW w:w="1003" w:type="dxa"/>
            <w:vAlign w:val="center"/>
          </w:tcPr>
          <w:p>
            <w:pPr>
              <w:spacing w:line="520" w:lineRule="exact"/>
              <w:jc w:val="center"/>
              <w:rPr>
                <w:rFonts w:ascii="仿宋_GB2312"/>
                <w:color w:val="auto"/>
                <w:sz w:val="24"/>
              </w:rPr>
            </w:pPr>
          </w:p>
        </w:tc>
        <w:tc>
          <w:tcPr>
            <w:tcW w:w="892" w:type="dxa"/>
            <w:vAlign w:val="center"/>
          </w:tcPr>
          <w:p>
            <w:pPr>
              <w:spacing w:line="520" w:lineRule="exact"/>
              <w:jc w:val="center"/>
              <w:rPr>
                <w:rFonts w:ascii="仿宋_GB2312"/>
                <w:color w:val="auto"/>
                <w:sz w:val="24"/>
              </w:rPr>
            </w:pPr>
          </w:p>
        </w:tc>
        <w:tc>
          <w:tcPr>
            <w:tcW w:w="1109" w:type="dxa"/>
            <w:vAlign w:val="center"/>
          </w:tcPr>
          <w:p>
            <w:pPr>
              <w:spacing w:line="520" w:lineRule="exact"/>
              <w:jc w:val="center"/>
              <w:rPr>
                <w:rFonts w:ascii="仿宋_GB2312"/>
                <w:color w:val="auto"/>
                <w:sz w:val="24"/>
              </w:rPr>
            </w:pPr>
          </w:p>
        </w:tc>
        <w:tc>
          <w:tcPr>
            <w:tcW w:w="1579" w:type="dxa"/>
            <w:vAlign w:val="center"/>
          </w:tcPr>
          <w:p>
            <w:pPr>
              <w:spacing w:line="520" w:lineRule="exact"/>
              <w:jc w:val="center"/>
              <w:rPr>
                <w:rFonts w:ascii="仿宋_GB2312"/>
                <w:color w:val="auto"/>
                <w:sz w:val="24"/>
              </w:rPr>
            </w:pPr>
          </w:p>
        </w:tc>
        <w:tc>
          <w:tcPr>
            <w:tcW w:w="1579"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426" w:type="dxa"/>
            <w:vAlign w:val="center"/>
          </w:tcPr>
          <w:p>
            <w:pPr>
              <w:spacing w:line="520" w:lineRule="exact"/>
              <w:jc w:val="center"/>
              <w:rPr>
                <w:rFonts w:ascii="仿宋_GB2312"/>
                <w:color w:val="auto"/>
                <w:sz w:val="24"/>
              </w:rPr>
            </w:pPr>
          </w:p>
        </w:tc>
        <w:tc>
          <w:tcPr>
            <w:tcW w:w="549" w:type="dxa"/>
            <w:vAlign w:val="center"/>
          </w:tcPr>
          <w:p>
            <w:pPr>
              <w:spacing w:line="520" w:lineRule="exact"/>
              <w:jc w:val="center"/>
              <w:rPr>
                <w:rFonts w:ascii="仿宋_GB2312"/>
                <w:color w:val="auto"/>
                <w:sz w:val="24"/>
              </w:rPr>
            </w:pPr>
          </w:p>
        </w:tc>
        <w:tc>
          <w:tcPr>
            <w:tcW w:w="629" w:type="dxa"/>
            <w:vAlign w:val="center"/>
          </w:tcPr>
          <w:p>
            <w:pPr>
              <w:spacing w:line="520" w:lineRule="exact"/>
              <w:jc w:val="center"/>
              <w:rPr>
                <w:rFonts w:ascii="仿宋_GB2312"/>
                <w:color w:val="auto"/>
                <w:sz w:val="24"/>
              </w:rPr>
            </w:pPr>
          </w:p>
        </w:tc>
        <w:tc>
          <w:tcPr>
            <w:tcW w:w="698"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764" w:type="dxa"/>
            <w:vAlign w:val="center"/>
          </w:tcPr>
          <w:p>
            <w:pPr>
              <w:spacing w:line="520" w:lineRule="exact"/>
              <w:jc w:val="center"/>
              <w:rPr>
                <w:rFonts w:ascii="仿宋_GB2312"/>
                <w:color w:val="auto"/>
                <w:sz w:val="24"/>
              </w:rPr>
            </w:pPr>
          </w:p>
        </w:tc>
        <w:tc>
          <w:tcPr>
            <w:tcW w:w="765" w:type="dxa"/>
            <w:vAlign w:val="center"/>
          </w:tcPr>
          <w:p>
            <w:pPr>
              <w:spacing w:line="520" w:lineRule="exact"/>
              <w:jc w:val="center"/>
              <w:rPr>
                <w:rFonts w:ascii="仿宋_GB2312"/>
                <w:color w:val="auto"/>
                <w:sz w:val="24"/>
              </w:rPr>
            </w:pPr>
          </w:p>
        </w:tc>
        <w:tc>
          <w:tcPr>
            <w:tcW w:w="571" w:type="dxa"/>
            <w:vAlign w:val="center"/>
          </w:tcPr>
          <w:p>
            <w:pPr>
              <w:spacing w:line="520" w:lineRule="exact"/>
              <w:jc w:val="center"/>
              <w:rPr>
                <w:rFonts w:ascii="仿宋_GB2312"/>
                <w:color w:val="auto"/>
                <w:sz w:val="24"/>
              </w:rPr>
            </w:pPr>
          </w:p>
        </w:tc>
        <w:tc>
          <w:tcPr>
            <w:tcW w:w="571" w:type="dxa"/>
            <w:vAlign w:val="center"/>
          </w:tcPr>
          <w:p>
            <w:pPr>
              <w:spacing w:line="520" w:lineRule="exact"/>
              <w:jc w:val="center"/>
              <w:rPr>
                <w:rFonts w:ascii="仿宋_GB2312"/>
                <w:color w:val="auto"/>
                <w:sz w:val="24"/>
              </w:rPr>
            </w:pPr>
          </w:p>
        </w:tc>
        <w:tc>
          <w:tcPr>
            <w:tcW w:w="607" w:type="dxa"/>
            <w:vAlign w:val="center"/>
          </w:tcPr>
          <w:p>
            <w:pPr>
              <w:spacing w:line="520" w:lineRule="exact"/>
              <w:jc w:val="center"/>
              <w:rPr>
                <w:rFonts w:ascii="仿宋_GB2312"/>
                <w:color w:val="auto"/>
                <w:sz w:val="24"/>
              </w:rPr>
            </w:pPr>
          </w:p>
        </w:tc>
        <w:tc>
          <w:tcPr>
            <w:tcW w:w="1036" w:type="dxa"/>
            <w:vAlign w:val="center"/>
          </w:tcPr>
          <w:p>
            <w:pPr>
              <w:spacing w:line="520" w:lineRule="exact"/>
              <w:jc w:val="center"/>
              <w:rPr>
                <w:rFonts w:ascii="仿宋_GB2312"/>
                <w:color w:val="auto"/>
                <w:sz w:val="24"/>
              </w:rPr>
            </w:pPr>
          </w:p>
        </w:tc>
        <w:tc>
          <w:tcPr>
            <w:tcW w:w="965" w:type="dxa"/>
            <w:vAlign w:val="center"/>
          </w:tcPr>
          <w:p>
            <w:pPr>
              <w:spacing w:line="520" w:lineRule="exact"/>
              <w:jc w:val="center"/>
              <w:rPr>
                <w:rFonts w:ascii="仿宋_GB2312"/>
                <w:color w:val="auto"/>
                <w:sz w:val="24"/>
              </w:rPr>
            </w:pPr>
          </w:p>
        </w:tc>
        <w:tc>
          <w:tcPr>
            <w:tcW w:w="853" w:type="dxa"/>
            <w:vAlign w:val="center"/>
          </w:tcPr>
          <w:p>
            <w:pPr>
              <w:spacing w:line="520" w:lineRule="exact"/>
              <w:jc w:val="center"/>
              <w:rPr>
                <w:rFonts w:ascii="仿宋_GB2312"/>
                <w:color w:val="auto"/>
                <w:sz w:val="24"/>
              </w:rPr>
            </w:pPr>
          </w:p>
        </w:tc>
        <w:tc>
          <w:tcPr>
            <w:tcW w:w="1003" w:type="dxa"/>
            <w:vAlign w:val="center"/>
          </w:tcPr>
          <w:p>
            <w:pPr>
              <w:spacing w:line="520" w:lineRule="exact"/>
              <w:jc w:val="center"/>
              <w:rPr>
                <w:rFonts w:ascii="仿宋_GB2312"/>
                <w:color w:val="auto"/>
                <w:sz w:val="24"/>
              </w:rPr>
            </w:pPr>
          </w:p>
        </w:tc>
        <w:tc>
          <w:tcPr>
            <w:tcW w:w="892" w:type="dxa"/>
            <w:vAlign w:val="center"/>
          </w:tcPr>
          <w:p>
            <w:pPr>
              <w:spacing w:line="520" w:lineRule="exact"/>
              <w:jc w:val="center"/>
              <w:rPr>
                <w:rFonts w:ascii="仿宋_GB2312"/>
                <w:color w:val="auto"/>
                <w:sz w:val="24"/>
              </w:rPr>
            </w:pPr>
          </w:p>
        </w:tc>
        <w:tc>
          <w:tcPr>
            <w:tcW w:w="1109" w:type="dxa"/>
            <w:vAlign w:val="center"/>
          </w:tcPr>
          <w:p>
            <w:pPr>
              <w:spacing w:line="520" w:lineRule="exact"/>
              <w:jc w:val="center"/>
              <w:rPr>
                <w:rFonts w:ascii="仿宋_GB2312"/>
                <w:color w:val="auto"/>
                <w:sz w:val="24"/>
              </w:rPr>
            </w:pPr>
          </w:p>
        </w:tc>
        <w:tc>
          <w:tcPr>
            <w:tcW w:w="1579" w:type="dxa"/>
            <w:vAlign w:val="center"/>
          </w:tcPr>
          <w:p>
            <w:pPr>
              <w:spacing w:line="520" w:lineRule="exact"/>
              <w:jc w:val="center"/>
              <w:rPr>
                <w:rFonts w:ascii="仿宋_GB2312"/>
                <w:color w:val="auto"/>
                <w:sz w:val="24"/>
              </w:rPr>
            </w:pPr>
          </w:p>
        </w:tc>
        <w:tc>
          <w:tcPr>
            <w:tcW w:w="1579" w:type="dxa"/>
            <w:vAlign w:val="center"/>
          </w:tcPr>
          <w:p>
            <w:pPr>
              <w:spacing w:line="520" w:lineRule="exact"/>
              <w:jc w:val="center"/>
              <w:rPr>
                <w:rFonts w:ascii="仿宋_GB2312"/>
                <w:color w:val="auto"/>
                <w:sz w:val="24"/>
              </w:rPr>
            </w:pPr>
          </w:p>
        </w:tc>
      </w:tr>
    </w:tbl>
    <w:p>
      <w:pPr>
        <w:spacing w:line="480" w:lineRule="exact"/>
        <w:rPr>
          <w:rFonts w:hint="eastAsia" w:ascii="宋体" w:hAnsi="宋体" w:eastAsia="宋体" w:cs="宋体"/>
          <w:color w:val="auto"/>
          <w:sz w:val="21"/>
          <w:szCs w:val="21"/>
        </w:rPr>
      </w:pPr>
      <w:r>
        <w:rPr>
          <w:rFonts w:hint="eastAsia" w:ascii="宋体" w:hAnsi="宋体" w:eastAsia="宋体" w:cs="宋体"/>
          <w:b/>
          <w:color w:val="auto"/>
          <w:sz w:val="21"/>
          <w:szCs w:val="21"/>
        </w:rPr>
        <w:t>注：</w:t>
      </w:r>
      <w:r>
        <w:rPr>
          <w:rFonts w:hint="eastAsia" w:ascii="宋体" w:hAnsi="宋体" w:eastAsia="宋体" w:cs="宋体"/>
          <w:bCs/>
          <w:color w:val="auto"/>
          <w:sz w:val="21"/>
          <w:szCs w:val="21"/>
        </w:rPr>
        <w:t>1.</w:t>
      </w:r>
      <w:r>
        <w:rPr>
          <w:rFonts w:hint="eastAsia" w:ascii="宋体" w:hAnsi="宋体" w:eastAsia="宋体" w:cs="宋体"/>
          <w:color w:val="auto"/>
          <w:sz w:val="21"/>
          <w:szCs w:val="21"/>
        </w:rPr>
        <w:t>报名人员在校期间有违法违纪违规行为并受过严重警告及以上处分的填“是”；</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.报名人员在读期间必修（主修）科目补考3门或3次（含3门或3次）以上为不达标，填“否”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在校</w:t>
      </w:r>
      <w:r>
        <w:rPr>
          <w:rFonts w:hint="eastAsia" w:ascii="宋体" w:hAnsi="宋体" w:eastAsia="宋体" w:cs="宋体"/>
          <w:color w:val="auto"/>
          <w:sz w:val="21"/>
          <w:szCs w:val="21"/>
          <w:lang w:val="en-US" w:eastAsia="zh-CN"/>
        </w:rPr>
        <w:t>获得荣誉（奖学金</w:t>
      </w:r>
      <w:r>
        <w:rPr>
          <w:rFonts w:hint="eastAsia" w:ascii="宋体" w:hAnsi="宋体" w:eastAsia="宋体" w:cs="宋体"/>
          <w:color w:val="auto"/>
          <w:sz w:val="21"/>
          <w:szCs w:val="21"/>
          <w:lang w:eastAsia="zh-CN"/>
        </w:rPr>
        <w:t>、奖项</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情况按照就高不重复原则评分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4.专业成绩排名精确到小数点后两位。</w:t>
      </w:r>
      <w:r>
        <w:rPr>
          <w:rFonts w:hint="eastAsia" w:ascii="宋体" w:hAnsi="宋体" w:eastAsia="宋体" w:cs="宋体"/>
          <w:color w:val="auto"/>
          <w:sz w:val="21"/>
          <w:szCs w:val="21"/>
        </w:rPr>
        <w:t>各院校在</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日前将本表分别寄送</w:t>
      </w:r>
      <w:r>
        <w:rPr>
          <w:rFonts w:hint="eastAsia" w:ascii="宋体" w:hAnsi="宋体" w:eastAsia="宋体" w:cs="宋体"/>
          <w:color w:val="auto"/>
          <w:sz w:val="21"/>
          <w:szCs w:val="21"/>
          <w:lang w:eastAsia="zh-CN"/>
        </w:rPr>
        <w:t>（或传真）</w:t>
      </w:r>
      <w:r>
        <w:rPr>
          <w:rFonts w:hint="eastAsia" w:ascii="宋体" w:hAnsi="宋体" w:eastAsia="宋体" w:cs="宋体"/>
          <w:color w:val="auto"/>
          <w:sz w:val="21"/>
          <w:szCs w:val="21"/>
        </w:rPr>
        <w:t>至</w:t>
      </w:r>
      <w:r>
        <w:rPr>
          <w:rFonts w:hint="eastAsia" w:ascii="宋体" w:hAnsi="宋体" w:eastAsia="宋体" w:cs="宋体"/>
          <w:b/>
          <w:bCs/>
          <w:color w:val="auto"/>
          <w:sz w:val="21"/>
          <w:szCs w:val="21"/>
        </w:rPr>
        <w:t>毕业生报名岗位所在设区市</w:t>
      </w:r>
      <w:r>
        <w:rPr>
          <w:rFonts w:hint="eastAsia" w:ascii="宋体" w:hAnsi="宋体" w:eastAsia="宋体" w:cs="宋体"/>
          <w:b/>
          <w:bCs/>
          <w:color w:val="auto"/>
          <w:sz w:val="21"/>
          <w:szCs w:val="21"/>
          <w:lang w:eastAsia="zh-CN"/>
        </w:rPr>
        <w:t>人社部</w:t>
      </w:r>
      <w:r>
        <w:rPr>
          <w:rFonts w:hint="eastAsia" w:ascii="宋体" w:hAnsi="宋体" w:cs="宋体"/>
          <w:b/>
          <w:bCs/>
          <w:color w:val="auto"/>
          <w:sz w:val="21"/>
          <w:szCs w:val="21"/>
          <w:lang w:eastAsia="zh-CN"/>
        </w:rPr>
        <w:t>门</w:t>
      </w:r>
      <w:r>
        <w:rPr>
          <w:rFonts w:hint="eastAsia" w:ascii="宋体" w:hAnsi="宋体" w:eastAsia="宋体" w:cs="宋体"/>
          <w:color w:val="auto"/>
          <w:sz w:val="21"/>
          <w:szCs w:val="21"/>
        </w:rPr>
        <w:t>。</w:t>
      </w:r>
    </w:p>
    <w:p>
      <w:pPr>
        <w:spacing w:line="520" w:lineRule="exact"/>
        <w:rPr>
          <w:rFonts w:hint="default"/>
          <w:b w:val="0"/>
          <w:bCs w:val="0"/>
          <w:color w:val="auto"/>
        </w:rPr>
      </w:pPr>
      <w:r>
        <w:rPr>
          <w:rFonts w:hint="eastAsia"/>
          <w:b w:val="0"/>
          <w:bCs w:val="0"/>
          <w:color w:val="auto"/>
        </w:rPr>
        <w:t>填表人：</w:t>
      </w:r>
      <w:r>
        <w:rPr>
          <w:rFonts w:hint="default"/>
          <w:b w:val="0"/>
          <w:bCs w:val="0"/>
          <w:color w:val="auto"/>
        </w:rPr>
        <w:t>（必填）</w:t>
      </w: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联系电话：</w:t>
      </w:r>
      <w:r>
        <w:rPr>
          <w:rFonts w:hint="default"/>
          <w:b w:val="0"/>
          <w:bCs w:val="0"/>
          <w:color w:val="auto"/>
        </w:rPr>
        <w:t>（必填）</w:t>
      </w:r>
    </w:p>
    <w:p>
      <w:pPr>
        <w:spacing w:line="520" w:lineRule="exact"/>
        <w:rPr>
          <w:rFonts w:hint="eastAsia" w:ascii="黑体" w:eastAsia="黑体"/>
          <w:bCs/>
          <w:color w:val="auto"/>
          <w:kern w:val="0"/>
          <w:sz w:val="32"/>
          <w:szCs w:val="32"/>
          <w:lang w:eastAsia="zh-CN"/>
        </w:rPr>
      </w:pPr>
      <w:r>
        <w:rPr>
          <w:rFonts w:hint="eastAsia" w:ascii="黑体" w:eastAsia="黑体"/>
          <w:bCs/>
          <w:color w:val="auto"/>
          <w:kern w:val="0"/>
          <w:sz w:val="32"/>
          <w:szCs w:val="32"/>
        </w:rPr>
        <w:t>附件</w:t>
      </w:r>
      <w:r>
        <w:rPr>
          <w:rFonts w:hint="eastAsia" w:ascii="黑体" w:eastAsia="黑体"/>
          <w:bCs/>
          <w:color w:val="auto"/>
          <w:kern w:val="0"/>
          <w:sz w:val="32"/>
          <w:szCs w:val="32"/>
          <w:lang w:val="en-US" w:eastAsia="zh-CN"/>
        </w:rPr>
        <w:t>2</w:t>
      </w:r>
    </w:p>
    <w:p>
      <w:pPr>
        <w:spacing w:line="550" w:lineRule="exact"/>
        <w:jc w:val="center"/>
        <w:rPr>
          <w:rFonts w:hint="eastAsia" w:ascii="宋体" w:hAnsi="宋体" w:cs="宋体"/>
          <w:b/>
          <w:color w:val="auto"/>
          <w:sz w:val="36"/>
          <w:szCs w:val="36"/>
        </w:rPr>
      </w:pPr>
      <w:r>
        <w:rPr>
          <w:rFonts w:hint="eastAsia" w:ascii="宋体" w:hAnsi="宋体" w:cs="宋体"/>
          <w:b/>
          <w:color w:val="auto"/>
          <w:sz w:val="36"/>
          <w:szCs w:val="36"/>
        </w:rPr>
        <w:t>福建省</w:t>
      </w:r>
      <w:r>
        <w:rPr>
          <w:rFonts w:hint="default" w:ascii="宋体" w:hAnsi="宋体" w:cs="宋体"/>
          <w:b/>
          <w:color w:val="auto"/>
          <w:sz w:val="36"/>
          <w:szCs w:val="36"/>
        </w:rPr>
        <w:t>设区市</w:t>
      </w:r>
      <w:r>
        <w:rPr>
          <w:rFonts w:hint="eastAsia" w:ascii="宋体" w:hAnsi="宋体" w:cs="宋体"/>
          <w:b/>
          <w:color w:val="auto"/>
          <w:sz w:val="36"/>
          <w:szCs w:val="36"/>
          <w:lang w:eastAsia="zh-CN"/>
        </w:rPr>
        <w:t>人社部门</w:t>
      </w:r>
      <w:r>
        <w:rPr>
          <w:rFonts w:hint="eastAsia" w:ascii="宋体" w:hAnsi="宋体" w:cs="宋体"/>
          <w:b/>
          <w:color w:val="auto"/>
          <w:sz w:val="36"/>
          <w:szCs w:val="36"/>
        </w:rPr>
        <w:t>联系表</w:t>
      </w:r>
    </w:p>
    <w:tbl>
      <w:tblPr>
        <w:tblStyle w:val="3"/>
        <w:tblpPr w:leftFromText="180" w:rightFromText="180" w:vertAnchor="text" w:horzAnchor="page" w:tblpX="1741" w:tblpY="4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1988"/>
        <w:gridCol w:w="2182"/>
        <w:gridCol w:w="544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联系电话</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传真号码</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联系地址</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highlight w:val="none"/>
              </w:rPr>
              <w:t>福州市</w:t>
            </w:r>
            <w:r>
              <w:rPr>
                <w:rFonts w:hint="eastAsia" w:ascii="仿宋_GB2312" w:hAnsi="仿宋_GB2312" w:eastAsia="仿宋_GB2312" w:cs="仿宋_GB2312"/>
                <w:color w:val="auto"/>
                <w:sz w:val="24"/>
                <w:highlight w:val="none"/>
                <w:lang w:eastAsia="zh-CN"/>
              </w:rPr>
              <w:t>人社局</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0591-83337727</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0591-83337727</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color w:val="auto"/>
                <w:sz w:val="24"/>
              </w:rPr>
            </w:pPr>
            <w:r>
              <w:rPr>
                <w:rFonts w:hint="default" w:ascii="仿宋_GB2312" w:hAnsi="仿宋_GB2312" w:eastAsia="仿宋_GB2312" w:cs="仿宋_GB2312"/>
                <w:color w:val="auto"/>
                <w:sz w:val="24"/>
              </w:rPr>
              <w:t>福建省</w:t>
            </w:r>
            <w:r>
              <w:rPr>
                <w:rFonts w:hint="eastAsia" w:ascii="仿宋_GB2312" w:hAnsi="仿宋_GB2312" w:eastAsia="仿宋_GB2312" w:cs="仿宋_GB2312"/>
                <w:color w:val="auto"/>
                <w:sz w:val="24"/>
              </w:rPr>
              <w:t>福州市仓山区南江滨西大道193号东部办公区1#</w:t>
            </w: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01室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漳州市</w:t>
            </w:r>
            <w:r>
              <w:rPr>
                <w:rFonts w:hint="eastAsia" w:ascii="仿宋_GB2312" w:hAnsi="仿宋_GB2312" w:eastAsia="仿宋_GB2312" w:cs="仿宋_GB2312"/>
                <w:color w:val="auto"/>
                <w:sz w:val="24"/>
                <w:highlight w:val="none"/>
                <w:lang w:eastAsia="zh-CN"/>
              </w:rPr>
              <w:t>人社局就业科</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0596-2024423</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0596-2021505</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0596-2024423</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val="en-US" w:eastAsia="zh-CN" w:bidi="ar"/>
              </w:rPr>
              <w:t>福建省</w:t>
            </w:r>
            <w:r>
              <w:rPr>
                <w:rFonts w:hint="default" w:ascii="仿宋_GB2312" w:hAnsi="仿宋_GB2312" w:eastAsia="仿宋_GB2312" w:cs="仿宋_GB2312"/>
                <w:color w:val="auto"/>
                <w:kern w:val="0"/>
                <w:sz w:val="24"/>
                <w:lang w:bidi="ar"/>
              </w:rPr>
              <w:t>漳州市芗城区漳福路44号2号楼漳州市人社局1楼104</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泉州市就业和人才人事公共服务中心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0595-28133660</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40" w:firstLineChars="10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0595-22377625</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福建省泉州市丰泽区东海大厦B栋1003室</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莆田市</w:t>
            </w:r>
            <w:r>
              <w:rPr>
                <w:rFonts w:hint="eastAsia" w:ascii="仿宋_GB2312" w:hAnsi="仿宋_GB2312" w:eastAsia="仿宋_GB2312" w:cs="仿宋_GB2312"/>
                <w:color w:val="auto"/>
                <w:sz w:val="24"/>
                <w:lang w:eastAsia="zh-CN"/>
              </w:rPr>
              <w:t>人社局</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0594-2289933</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0594-2392879</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kern w:val="0"/>
                <w:sz w:val="24"/>
                <w:lang w:bidi="ar"/>
              </w:rPr>
              <w:t>福建省莆田市城厢区荔城中大道2169号莆田市人民政府办公楼1号楼651室</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351100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三明市</w:t>
            </w:r>
            <w:r>
              <w:rPr>
                <w:rFonts w:hint="eastAsia" w:ascii="仿宋_GB2312" w:hAnsi="仿宋_GB2312" w:eastAsia="仿宋_GB2312" w:cs="仿宋_GB2312"/>
                <w:color w:val="auto"/>
                <w:sz w:val="24"/>
                <w:highlight w:val="none"/>
                <w:lang w:eastAsia="zh-CN"/>
              </w:rPr>
              <w:t>人社局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0598-7506621</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0598-7506675</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 xml:space="preserve"> 福建省三明市三元区新市北路杜鹃新村32幢三明市人社局311室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南平市</w:t>
            </w:r>
            <w:r>
              <w:rPr>
                <w:rFonts w:hint="eastAsia" w:ascii="仿宋_GB2312" w:hAnsi="仿宋_GB2312" w:eastAsia="仿宋_GB2312" w:cs="仿宋_GB2312"/>
                <w:color w:val="auto"/>
                <w:sz w:val="24"/>
                <w:highlight w:val="none"/>
                <w:lang w:eastAsia="zh-CN"/>
              </w:rPr>
              <w:t>人事人才公共服务中心</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0599-8858560</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福建省南平市建阳区童游街道翠屏路2号南平市政务服务中心四楼四区473室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龙岩市</w:t>
            </w:r>
            <w:r>
              <w:rPr>
                <w:rFonts w:hint="eastAsia" w:ascii="仿宋_GB2312" w:hAnsi="仿宋_GB2312" w:eastAsia="仿宋_GB2312" w:cs="仿宋_GB2312"/>
                <w:color w:val="auto"/>
                <w:sz w:val="24"/>
                <w:highlight w:val="none"/>
                <w:lang w:eastAsia="zh-CN"/>
              </w:rPr>
              <w:t>公共就业和人才服务中心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0597-3298291</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rPr>
              <w:t>福建省龙岩市新罗区金融中心B2栋农业银行大楼14楼1425办公室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宁德市</w:t>
            </w:r>
            <w:r>
              <w:rPr>
                <w:rFonts w:hint="eastAsia" w:ascii="仿宋_GB2312" w:hAnsi="仿宋_GB2312" w:eastAsia="仿宋_GB2312" w:cs="仿宋_GB2312"/>
                <w:color w:val="auto"/>
                <w:sz w:val="24"/>
                <w:lang w:eastAsia="zh-CN"/>
              </w:rPr>
              <w:t>人社局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0593-2868196</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0593-2868196</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福建省宁德市蕉城南路42号4楼毕业生就业指导中心</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平潭综合实验区</w:t>
            </w:r>
            <w:r>
              <w:rPr>
                <w:rFonts w:hint="eastAsia" w:ascii="仿宋_GB2312" w:hAnsi="仿宋_GB2312" w:eastAsia="仿宋_GB2312" w:cs="仿宋_GB2312"/>
                <w:color w:val="auto"/>
                <w:sz w:val="24"/>
                <w:lang w:eastAsia="zh-CN"/>
              </w:rPr>
              <w:t>社会事业局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0591-38918918</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0591-38918918</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平潭综合实验区航运物流大厦3号楼9层社会保障处一</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350400</w:t>
            </w:r>
          </w:p>
        </w:tc>
      </w:tr>
    </w:tbl>
    <w:p>
      <w:pPr>
        <w:spacing w:line="520" w:lineRule="exact"/>
        <w:rPr>
          <w:rFonts w:hint="default"/>
          <w:b w:val="0"/>
          <w:bCs w:val="0"/>
          <w:color w:val="auto"/>
        </w:rPr>
      </w:pPr>
    </w:p>
    <w:p>
      <w:bookmarkStart w:id="0" w:name="_GoBack"/>
      <w:bookmarkEnd w:id="0"/>
    </w:p>
    <w:sectPr>
      <w:headerReference r:id="rId3"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NzUwMjg0MWMzMzA5NmY1OWM1N2FkMDNhY2U3YmQifQ=="/>
  </w:docVars>
  <w:rsids>
    <w:rsidRoot w:val="56C324BA"/>
    <w:rsid w:val="56C3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2024-03-29T09:54:00Z</dcterms:created>
  <dc:creator>叶</dc:creator>
  <cp:lastModifiedBy>叶</cp:lastModifiedBy>
  <dcterms:modified xsi:type="dcterms:W3CDTF">2024-03-29T09:55:06Z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F7A7D1EABC62456F852C49A52860F33C_11</vt:lpwstr>
  </property>
</Properties>
</file>