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225" w:leftChars="107" w:right="0" w:firstLine="980" w:firstLineChars="350"/>
        <w:jc w:val="left"/>
      </w:pPr>
      <w:r>
        <w:rPr>
          <w:rFonts w:hint="default" w:ascii="Times New Roman" w:hAnsi="Times New Roman" w:cs="宋体" w:eastAsiaTheme="minorEastAsia"/>
          <w:color w:val="000000"/>
          <w:kern w:val="0"/>
          <w:sz w:val="28"/>
          <w:szCs w:val="28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宋体" w:eastAsiaTheme="minorEastAsia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lang w:val="en-US" w:eastAsia="zh-CN" w:bidi="ar"/>
        </w:rPr>
        <w:t>月龙文区事业单位进入第一批资格复审人员名单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26" w:right="0"/>
        <w:jc w:val="left"/>
      </w:pPr>
      <w:r>
        <w:rPr>
          <w:rFonts w:hint="default" w:ascii="Times New Roman" w:hAnsi="Times New Roman" w:cs="宋体" w:eastAsiaTheme="minorEastAsia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774"/>
        <w:gridCol w:w="885"/>
        <w:gridCol w:w="442"/>
        <w:gridCol w:w="1997"/>
        <w:gridCol w:w="601"/>
        <w:gridCol w:w="615"/>
        <w:gridCol w:w="461"/>
        <w:gridCol w:w="649"/>
        <w:gridCol w:w="6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/>
                <w:bCs w:val="0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201812010101024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201812010101317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谢宛儒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201812010101414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陈慧贞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201812010100108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李范珍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201812010100615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戴金生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201812010100518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林超平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201812010100329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柯雅婷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201812010101112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董振峰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201812010100416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201812010101125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黄一灵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201812010100312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高钊琳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201812010100924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甘晓深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201812010100111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201812010100402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201812010100116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杨伟亮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201812010100413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Cs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201812010100217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陈灵兴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201812010100103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朱巧慧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201812010101311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郑毅萍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201812010100318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李昕玥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201812010101305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曾伟婷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201812010100321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沈秀玲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201812010100216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201812010100409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陈徐娇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201812010100813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201812010101312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周梅芳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201812010101407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林艺超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201812010100213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龙文区教育局下属中、小学校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201812010100917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201812050299501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Hiragino Sans GB" w:hAnsi="Hiragino Sans GB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杨丽媛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报名人数未超过</w:t>
            </w: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人，考试方式为：面试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201812050299602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苏仕斌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201812050299703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黄赐妹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龙文区统计执法大队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201812050299804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周良芬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201812100299905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2018121002100107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张秋红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2018121002100208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张文祥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2018121002100309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2018121002100410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蓝颖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龙文区交通综合行政执法大队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121002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2018121002100511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张年荣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2018121401100612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陈锦椿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2018121401100713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魏津昌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2018121402100814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吴思扬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2018121402100915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2018121402101016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尤雅琪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龙文区住房保障与房地产管理局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121402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2018121402101117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章瑶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龙文区突发公共事件应急管理中心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2018121502101218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龙文区突发公共事件应急管理中心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121502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2018121502101319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121301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201812130105211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张艺婷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报名人数超过１０人，考试方式：笔试＋面试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Arial" w:hAnsi="Arial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121301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201812130105219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蔡秋萍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121301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201812130105220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曾于荭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201812110205019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郑玲娜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201812110205023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郑小超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２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121102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１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201812110205025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沈杰云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３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63E78"/>
    <w:rsid w:val="65363E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2018-06-06T03:11:00Z</dcterms:created>
  <dc:creator> 米 米 </dc:creator>
  <cp:lastModifiedBy> 米 米 </cp:lastModifiedBy>
  <dcterms:modified xsi:type="dcterms:W3CDTF">2018-06-06T03:11:34Z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