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19" w:rsidRPr="008C1019" w:rsidRDefault="008C1019" w:rsidP="008C101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066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9"/>
        <w:gridCol w:w="991"/>
        <w:gridCol w:w="1680"/>
        <w:gridCol w:w="1807"/>
        <w:gridCol w:w="795"/>
        <w:gridCol w:w="4485"/>
        <w:gridCol w:w="278"/>
      </w:tblGrid>
      <w:tr w:rsidR="008C1019" w:rsidRPr="008C1019" w:rsidTr="000A63EF">
        <w:trPr>
          <w:trHeight w:val="630"/>
          <w:jc w:val="center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序号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proofErr w:type="gramStart"/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系部</w:t>
            </w:r>
            <w:proofErr w:type="gramEnd"/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学科专业</w:t>
            </w:r>
          </w:p>
        </w:tc>
        <w:tc>
          <w:tcPr>
            <w:tcW w:w="180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基本要求</w:t>
            </w:r>
          </w:p>
        </w:tc>
        <w:tc>
          <w:tcPr>
            <w:tcW w:w="79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需求人数</w:t>
            </w:r>
          </w:p>
        </w:tc>
        <w:tc>
          <w:tcPr>
            <w:tcW w:w="448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讲授课程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spacing w:line="26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C1019" w:rsidRPr="008C1019" w:rsidTr="000A63EF">
        <w:trPr>
          <w:trHeight w:val="63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spacing w:line="26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C1019" w:rsidRPr="008C1019" w:rsidTr="000A63EF">
        <w:trPr>
          <w:trHeight w:val="840"/>
          <w:jc w:val="center"/>
        </w:trPr>
        <w:tc>
          <w:tcPr>
            <w:tcW w:w="62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管理系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酒店管理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博士或具有副高级及以上职称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饭店经营管理、旅游经济学、旅游心理学等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spacing w:line="26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C1019" w:rsidRPr="008C1019" w:rsidTr="000A63EF">
        <w:trPr>
          <w:trHeight w:val="8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工商管理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博士或具有副高级及以上职称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大数据营销、数据挖掘、智慧商务等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spacing w:line="26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C1019" w:rsidRPr="008C1019" w:rsidTr="000A63EF">
        <w:trPr>
          <w:trHeight w:val="1095"/>
          <w:jc w:val="center"/>
        </w:trPr>
        <w:tc>
          <w:tcPr>
            <w:tcW w:w="62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财会</w:t>
            </w:r>
          </w:p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金融系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金融学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博士或具有副高级及以上职称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量化投资、金融大数据分析等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spacing w:line="26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C1019" w:rsidRPr="008C1019" w:rsidTr="000A63EF">
        <w:trPr>
          <w:trHeight w:val="109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财务类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博士或具有副高级及以上职称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国际财务管理、高级财务管理等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spacing w:line="26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C1019" w:rsidRPr="008C1019" w:rsidTr="000A63EF">
        <w:trPr>
          <w:trHeight w:val="825"/>
          <w:jc w:val="center"/>
        </w:trPr>
        <w:tc>
          <w:tcPr>
            <w:tcW w:w="62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外经贸系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商务英语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博士或具有副高级及以上职称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商务英语专业主干课程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spacing w:line="26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C1019" w:rsidRPr="008C1019" w:rsidTr="000A63EF">
        <w:trPr>
          <w:trHeight w:val="8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国际经济</w:t>
            </w: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br/>
              <w:t>与贸易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博士或具有副高级及以上职称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经济学、国际服务贸易等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spacing w:line="26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C1019" w:rsidRPr="008C1019" w:rsidTr="000A63EF">
        <w:trPr>
          <w:trHeight w:val="825"/>
          <w:jc w:val="center"/>
        </w:trPr>
        <w:tc>
          <w:tcPr>
            <w:tcW w:w="62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人文系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环境资源</w:t>
            </w:r>
          </w:p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管理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博士或具有副高级及以上职称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环境资源管理有关课程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spacing w:line="26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C1019" w:rsidRPr="008C1019" w:rsidTr="000A63EF">
        <w:trPr>
          <w:trHeight w:val="8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文化产业</w:t>
            </w:r>
          </w:p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管理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博士或具有副高级及以上职称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文化创意设计与制作有关课程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spacing w:line="26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C1019" w:rsidRPr="008C1019" w:rsidTr="000A63EF">
        <w:trPr>
          <w:trHeight w:val="8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广播电视</w:t>
            </w:r>
          </w:p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编导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博士或优秀硕士或具有副高级及以上职称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广播电视概论、影视编剧、广播电视编导、影视视听语言、中外影视史等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spacing w:line="26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C1019" w:rsidRPr="008C1019" w:rsidTr="000A63EF">
        <w:trPr>
          <w:trHeight w:val="8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马克思主义哲学、伦理学、中国哲学相关专业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博士或具有副高级及以上职称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中</w:t>
            </w:r>
            <w:proofErr w:type="gramStart"/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特</w:t>
            </w:r>
            <w:proofErr w:type="gramEnd"/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理论、马克思主义基本原理概论、国学教育等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spacing w:line="26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C1019" w:rsidRPr="008C1019" w:rsidTr="000A63EF">
        <w:trPr>
          <w:trHeight w:val="825"/>
          <w:jc w:val="center"/>
        </w:trPr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计算机</w:t>
            </w:r>
          </w:p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工程系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计算机科学与技术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博士或具有副高级及以上职称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大数据分析、嵌入式系统、</w:t>
            </w:r>
            <w:proofErr w:type="gramStart"/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云计算</w:t>
            </w:r>
            <w:proofErr w:type="gramEnd"/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等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spacing w:line="26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C1019" w:rsidRPr="008C1019" w:rsidTr="000A63EF">
        <w:trPr>
          <w:trHeight w:val="735"/>
          <w:jc w:val="center"/>
        </w:trPr>
        <w:tc>
          <w:tcPr>
            <w:tcW w:w="62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电子信息</w:t>
            </w: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br/>
              <w:t>工程系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电子信息</w:t>
            </w:r>
          </w:p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工程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博士或具有副高级及以上职称或高职</w:t>
            </w: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称实务专家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EDA技术、嵌入式系统原理与开发等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spacing w:line="26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C1019" w:rsidRPr="008C1019" w:rsidTr="000A63EF">
        <w:trPr>
          <w:trHeight w:val="7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通信工程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博士或具有副高级及以上职称或高职称实务专家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宽带网及其接入技术、短距离无线通信技术等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spacing w:line="26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C1019" w:rsidRPr="008C1019" w:rsidTr="000A63EF">
        <w:trPr>
          <w:trHeight w:val="7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物联网工程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博士或具有副高级及以上职称或高职称实务专家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射频技术与RFID、无线传感器网络原理等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spacing w:line="26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C1019" w:rsidRPr="008C1019" w:rsidTr="000A63EF">
        <w:trPr>
          <w:trHeight w:val="7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数字媒体技术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博士或具有副高级及以上职称或高职称实务专家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游戏设计与开发、交互设计及应用等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spacing w:line="26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C1019" w:rsidRPr="008C1019" w:rsidTr="000A63EF">
        <w:trPr>
          <w:trHeight w:val="900"/>
          <w:jc w:val="center"/>
        </w:trPr>
        <w:tc>
          <w:tcPr>
            <w:tcW w:w="62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土木</w:t>
            </w:r>
          </w:p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工程系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建筑电气与</w:t>
            </w: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br/>
              <w:t>智能化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博士或具有副高级及以上职称或高职称实务专家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建筑电气工程CAD、建筑设备概论、建筑设备安装工程施工、建筑设备安装工程预算、建筑设备工程等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spacing w:line="26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C1019" w:rsidRPr="008C1019" w:rsidTr="000A63EF">
        <w:trPr>
          <w:trHeight w:val="9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土木工程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博士或具有副高级及以上职称或高职称实务专家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101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土工程材料、画法几何与工程制图、土木工程施工及土木工程等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C1019" w:rsidRPr="008C1019" w:rsidRDefault="008C1019" w:rsidP="008C1019">
            <w:pPr>
              <w:widowControl/>
              <w:spacing w:line="26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0A63EF" w:rsidRPr="000A63EF" w:rsidRDefault="000A63EF" w:rsidP="000A63E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22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5"/>
        <w:gridCol w:w="1425"/>
        <w:gridCol w:w="1275"/>
        <w:gridCol w:w="1275"/>
        <w:gridCol w:w="2370"/>
      </w:tblGrid>
      <w:tr w:rsidR="000A63EF" w:rsidRPr="000A63EF" w:rsidTr="000A63EF">
        <w:trPr>
          <w:trHeight w:val="645"/>
          <w:jc w:val="center"/>
        </w:trPr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A63EF" w:rsidRPr="000A63EF" w:rsidRDefault="000A63EF" w:rsidP="000A63E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3E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人才类别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A63EF" w:rsidRPr="000A63EF" w:rsidRDefault="000A63EF" w:rsidP="000A63E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3E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年薪</w:t>
            </w:r>
          </w:p>
          <w:p w:rsidR="000A63EF" w:rsidRPr="000A63EF" w:rsidRDefault="000A63EF" w:rsidP="000A63E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3E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（税前）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A63EF" w:rsidRPr="000A63EF" w:rsidRDefault="000A63EF" w:rsidP="000A63E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3E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科研</w:t>
            </w:r>
          </w:p>
          <w:p w:rsidR="000A63EF" w:rsidRPr="000A63EF" w:rsidRDefault="000A63EF" w:rsidP="000A63E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3E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启动费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0A63EF" w:rsidRPr="000A63EF" w:rsidRDefault="000A63EF" w:rsidP="000A63E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3E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购房</w:t>
            </w:r>
          </w:p>
          <w:p w:rsidR="000A63EF" w:rsidRPr="000A63EF" w:rsidRDefault="000A63EF" w:rsidP="000A63E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3E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补贴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A63EF" w:rsidRPr="000A63EF" w:rsidRDefault="000A63EF" w:rsidP="000A63E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3E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安家费</w:t>
            </w:r>
          </w:p>
        </w:tc>
      </w:tr>
      <w:tr w:rsidR="000A63EF" w:rsidRPr="000A63EF" w:rsidTr="000A63EF">
        <w:trPr>
          <w:trHeight w:val="885"/>
          <w:jc w:val="center"/>
        </w:trPr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A63EF" w:rsidRPr="000A63EF" w:rsidRDefault="000A63EF" w:rsidP="000A63E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3E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学科专业带头人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A63EF" w:rsidRPr="000A63EF" w:rsidRDefault="000A63EF" w:rsidP="000A63E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3E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35-45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A63EF" w:rsidRPr="000A63EF" w:rsidRDefault="000A63EF" w:rsidP="000A63E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3E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15-25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A63EF" w:rsidRPr="000A63EF" w:rsidRDefault="000A63EF" w:rsidP="000A63E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3E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30-40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A63EF" w:rsidRPr="000A63EF" w:rsidRDefault="000A63EF" w:rsidP="000A63E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3E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5</w:t>
            </w:r>
          </w:p>
        </w:tc>
      </w:tr>
      <w:tr w:rsidR="000A63EF" w:rsidRPr="000A63EF" w:rsidTr="000A63EF">
        <w:trPr>
          <w:trHeight w:val="855"/>
          <w:jc w:val="center"/>
        </w:trPr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A63EF" w:rsidRPr="000A63EF" w:rsidRDefault="000A63EF" w:rsidP="000A63E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A63E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教授或其它系列</w:t>
            </w:r>
          </w:p>
          <w:p w:rsidR="000A63EF" w:rsidRPr="000A63EF" w:rsidRDefault="000A63EF" w:rsidP="000A63E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3E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正高级职称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A63EF" w:rsidRPr="000A63EF" w:rsidRDefault="000A63EF" w:rsidP="000A63E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3E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25-35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A63EF" w:rsidRPr="000A63EF" w:rsidRDefault="000A63EF" w:rsidP="000A63E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3E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10-15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A63EF" w:rsidRPr="000A63EF" w:rsidRDefault="000A63EF" w:rsidP="000A63E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3E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15-30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A63EF" w:rsidRPr="000A63EF" w:rsidRDefault="000A63EF" w:rsidP="000A63E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3E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5</w:t>
            </w:r>
          </w:p>
        </w:tc>
      </w:tr>
      <w:tr w:rsidR="000A63EF" w:rsidRPr="000A63EF" w:rsidTr="000A63EF">
        <w:trPr>
          <w:trHeight w:val="840"/>
          <w:jc w:val="center"/>
        </w:trPr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A63EF" w:rsidRPr="000A63EF" w:rsidRDefault="000A63EF" w:rsidP="000A63E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3E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博士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A63EF" w:rsidRPr="000A63EF" w:rsidRDefault="000A63EF" w:rsidP="000A63E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3E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15—25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A63EF" w:rsidRPr="000A63EF" w:rsidRDefault="000A63EF" w:rsidP="000A63E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3E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3-10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A63EF" w:rsidRPr="000A63EF" w:rsidRDefault="000A63EF" w:rsidP="000A63E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3E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10-15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A63EF" w:rsidRPr="000A63EF" w:rsidRDefault="000A63EF" w:rsidP="000A63E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3E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5</w:t>
            </w:r>
          </w:p>
        </w:tc>
      </w:tr>
      <w:tr w:rsidR="000A63EF" w:rsidRPr="000A63EF" w:rsidTr="000A63EF">
        <w:trPr>
          <w:trHeight w:val="1005"/>
          <w:jc w:val="center"/>
        </w:trPr>
        <w:tc>
          <w:tcPr>
            <w:tcW w:w="822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0A63EF" w:rsidRPr="000A63EF" w:rsidRDefault="000A63EF" w:rsidP="000A63E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A63E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说明：</w:t>
            </w:r>
          </w:p>
          <w:p w:rsidR="000A63EF" w:rsidRPr="000A63EF" w:rsidRDefault="000A63EF" w:rsidP="000A63E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A63E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1. 学院实行聘用制，录用人员与学院签订聘用合同，人事档案需转入我院指定的人事代理机构；</w:t>
            </w:r>
          </w:p>
          <w:p w:rsidR="000A63EF" w:rsidRPr="000A63EF" w:rsidRDefault="000A63EF" w:rsidP="000A63E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A63E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2. 对于教学科研经验丰富的高层次人才，学院采取</w:t>
            </w:r>
            <w:proofErr w:type="gramStart"/>
            <w:r w:rsidRPr="000A63E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特</w:t>
            </w:r>
            <w:proofErr w:type="gramEnd"/>
            <w:r w:rsidRPr="000A63E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事特办原则，待遇可协商；</w:t>
            </w:r>
          </w:p>
          <w:p w:rsidR="000A63EF" w:rsidRPr="000A63EF" w:rsidRDefault="000A63EF" w:rsidP="000A63E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A63E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3. 放弃购房补贴和安家费，在服务年限内可享有学院免费提供的专家公寓使用权。如获得学院安家费和购房补贴，则不再享受学院免费提供的专家公寓使用权；</w:t>
            </w:r>
          </w:p>
          <w:p w:rsidR="000A63EF" w:rsidRPr="000A63EF" w:rsidRDefault="000A63EF" w:rsidP="000A63E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3EF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4. 解决子女中小学入学。</w:t>
            </w:r>
          </w:p>
        </w:tc>
      </w:tr>
    </w:tbl>
    <w:p w:rsidR="008C5524" w:rsidRPr="000A63EF" w:rsidRDefault="00723B14"/>
    <w:sectPr w:rsidR="008C5524" w:rsidRPr="000A63EF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B14" w:rsidRDefault="00723B14" w:rsidP="008C1019">
      <w:r>
        <w:separator/>
      </w:r>
    </w:p>
  </w:endnote>
  <w:endnote w:type="continuationSeparator" w:id="0">
    <w:p w:rsidR="00723B14" w:rsidRDefault="00723B14" w:rsidP="008C1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B14" w:rsidRDefault="00723B14" w:rsidP="008C1019">
      <w:r>
        <w:separator/>
      </w:r>
    </w:p>
  </w:footnote>
  <w:footnote w:type="continuationSeparator" w:id="0">
    <w:p w:rsidR="00723B14" w:rsidRDefault="00723B14" w:rsidP="008C10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019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3EF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3B14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019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0C22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1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10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1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1019"/>
    <w:rPr>
      <w:sz w:val="18"/>
      <w:szCs w:val="18"/>
    </w:rPr>
  </w:style>
  <w:style w:type="paragraph" w:styleId="a5">
    <w:name w:val="Normal (Web)"/>
    <w:basedOn w:val="a"/>
    <w:uiPriority w:val="99"/>
    <w:unhideWhenUsed/>
    <w:rsid w:val="008C10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Company>微软中国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2016-12-16T10:18:00Z</dcterms:created>
  <dcterms:modified xsi:type="dcterms:W3CDTF">2016-12-16T10:19:00Z</dcterms:modified>
</cp:coreProperties>
</file>