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微软雅黑" w:eastAsia="仿宋_GB2312"/>
          <w:b/>
          <w:bCs/>
          <w:kern w:val="0"/>
          <w:sz w:val="24"/>
        </w:rPr>
      </w:pPr>
      <w:r>
        <w:rPr>
          <w:rFonts w:hint="eastAsia" w:ascii="仿宋_GB2312" w:hAnsi="微软雅黑" w:eastAsia="仿宋_GB2312"/>
          <w:b/>
          <w:bCs/>
          <w:kern w:val="0"/>
          <w:sz w:val="24"/>
        </w:rPr>
        <w:t>附件1：</w:t>
      </w:r>
    </w:p>
    <w:p>
      <w:pPr>
        <w:widowControl/>
        <w:jc w:val="center"/>
        <w:rPr>
          <w:rFonts w:ascii="仿宋_GB2312" w:hAnsi="微软雅黑" w:eastAsia="仿宋_GB2312"/>
          <w:b/>
          <w:bCs/>
          <w:kern w:val="0"/>
          <w:sz w:val="24"/>
        </w:rPr>
      </w:pPr>
      <w:bookmarkStart w:id="0" w:name="_GoBack"/>
      <w:r>
        <w:rPr>
          <w:rFonts w:hint="eastAsia" w:ascii="宋体" w:hAnsi="宋体" w:cs="黑体"/>
          <w:b/>
          <w:bCs/>
          <w:w w:val="97"/>
          <w:kern w:val="0"/>
          <w:sz w:val="28"/>
          <w:szCs w:val="28"/>
        </w:rPr>
        <w:t>弋阳县公开选调县纪委监委公务员职位表</w:t>
      </w:r>
    </w:p>
    <w:bookmarkEnd w:id="0"/>
    <w:tbl>
      <w:tblPr>
        <w:tblStyle w:val="3"/>
        <w:tblW w:w="8720" w:type="dxa"/>
        <w:jc w:val="center"/>
        <w:tblLayout w:type="autofit"/>
        <w:tblCellMar>
          <w:top w:w="0" w:type="dxa"/>
          <w:left w:w="0" w:type="dxa"/>
          <w:bottom w:w="0" w:type="dxa"/>
          <w:right w:w="0" w:type="dxa"/>
        </w:tblCellMar>
      </w:tblPr>
      <w:tblGrid>
        <w:gridCol w:w="1065"/>
        <w:gridCol w:w="669"/>
        <w:gridCol w:w="993"/>
        <w:gridCol w:w="1701"/>
        <w:gridCol w:w="1701"/>
        <w:gridCol w:w="1875"/>
        <w:gridCol w:w="716"/>
      </w:tblGrid>
      <w:tr>
        <w:tblPrEx>
          <w:tblCellMar>
            <w:top w:w="0" w:type="dxa"/>
            <w:left w:w="0" w:type="dxa"/>
            <w:bottom w:w="0" w:type="dxa"/>
            <w:right w:w="0" w:type="dxa"/>
          </w:tblCellMar>
        </w:tblPrEx>
        <w:trPr>
          <w:trHeight w:val="1305" w:hRule="atLeast"/>
          <w:jc w:val="center"/>
        </w:trPr>
        <w:tc>
          <w:tcPr>
            <w:tcW w:w="1065" w:type="dxa"/>
            <w:tcBorders>
              <w:top w:val="single" w:color="auto" w:sz="6" w:space="0"/>
              <w:left w:val="single" w:color="auto" w:sz="6" w:space="0"/>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选调</w:t>
            </w:r>
            <w:r>
              <w:br w:type="textWrapping"/>
            </w:r>
            <w:r>
              <w:t>单位</w:t>
            </w:r>
          </w:p>
        </w:tc>
        <w:tc>
          <w:tcPr>
            <w:tcW w:w="669" w:type="dxa"/>
            <w:tcBorders>
              <w:top w:val="single" w:color="000000" w:sz="6" w:space="0"/>
              <w:left w:val="nil"/>
              <w:bottom w:val="single" w:color="auto" w:sz="6" w:space="0"/>
              <w:right w:val="single" w:color="auto" w:sz="4"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rPr>
                <w:rFonts w:hint="eastAsia"/>
              </w:rPr>
              <w:t>选调职位</w:t>
            </w:r>
          </w:p>
        </w:tc>
        <w:tc>
          <w:tcPr>
            <w:tcW w:w="993" w:type="dxa"/>
            <w:tcBorders>
              <w:top w:val="single" w:color="000000" w:sz="6" w:space="0"/>
              <w:left w:val="single" w:color="auto" w:sz="4" w:space="0"/>
              <w:bottom w:val="single" w:color="auto" w:sz="6" w:space="0"/>
              <w:right w:val="nil"/>
            </w:tcBorders>
            <w:shd w:val="clear" w:color="auto" w:fill="auto"/>
            <w:noWrap w:val="0"/>
            <w:vAlign w:val="center"/>
          </w:tcPr>
          <w:p>
            <w:pPr>
              <w:pStyle w:val="2"/>
              <w:widowControl/>
              <w:spacing w:beforeAutospacing="0" w:after="300" w:afterAutospacing="0"/>
              <w:jc w:val="center"/>
            </w:pPr>
            <w:r>
              <w:t>选调</w:t>
            </w:r>
            <w:r>
              <w:br w:type="textWrapping"/>
            </w:r>
            <w:r>
              <w:t>人数</w:t>
            </w:r>
          </w:p>
        </w:tc>
        <w:tc>
          <w:tcPr>
            <w:tcW w:w="1701" w:type="dxa"/>
            <w:tcBorders>
              <w:top w:val="single" w:color="000000" w:sz="6" w:space="0"/>
              <w:left w:val="single" w:color="000000" w:sz="6" w:space="0"/>
              <w:bottom w:val="single" w:color="auto" w:sz="6" w:space="0"/>
              <w:right w:val="single" w:color="000000"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选调对象</w:t>
            </w:r>
          </w:p>
        </w:tc>
        <w:tc>
          <w:tcPr>
            <w:tcW w:w="1701" w:type="dxa"/>
            <w:tcBorders>
              <w:top w:val="single" w:color="000000" w:sz="6"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年龄</w:t>
            </w:r>
          </w:p>
        </w:tc>
        <w:tc>
          <w:tcPr>
            <w:tcW w:w="1875" w:type="dxa"/>
            <w:tcBorders>
              <w:top w:val="single" w:color="auto" w:sz="6"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学历</w:t>
            </w:r>
            <w:r>
              <w:br w:type="textWrapping"/>
            </w:r>
            <w:r>
              <w:t>学位</w:t>
            </w:r>
          </w:p>
        </w:tc>
        <w:tc>
          <w:tcPr>
            <w:tcW w:w="716" w:type="dxa"/>
            <w:tcBorders>
              <w:top w:val="single" w:color="000000" w:sz="6" w:space="0"/>
              <w:left w:val="nil"/>
              <w:bottom w:val="single" w:color="auto" w:sz="6" w:space="0"/>
              <w:right w:val="single" w:color="000000"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专业</w:t>
            </w:r>
          </w:p>
        </w:tc>
      </w:tr>
      <w:tr>
        <w:tblPrEx>
          <w:tblCellMar>
            <w:top w:w="0" w:type="dxa"/>
            <w:left w:w="0" w:type="dxa"/>
            <w:bottom w:w="0" w:type="dxa"/>
            <w:right w:w="0" w:type="dxa"/>
          </w:tblCellMar>
        </w:tblPrEx>
        <w:trPr>
          <w:trHeight w:val="9192" w:hRule="atLeast"/>
          <w:jc w:val="center"/>
        </w:trPr>
        <w:tc>
          <w:tcPr>
            <w:tcW w:w="1065" w:type="dxa"/>
            <w:tcBorders>
              <w:top w:val="single" w:color="auto" w:sz="4" w:space="0"/>
              <w:left w:val="single" w:color="auto" w:sz="6" w:space="0"/>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p>
          <w:p>
            <w:pPr>
              <w:pStyle w:val="2"/>
              <w:widowControl/>
              <w:spacing w:beforeAutospacing="0" w:after="300" w:afterAutospacing="0"/>
              <w:jc w:val="center"/>
            </w:pPr>
          </w:p>
          <w:p>
            <w:pPr>
              <w:pStyle w:val="2"/>
              <w:widowControl/>
              <w:spacing w:beforeAutospacing="0" w:after="300" w:afterAutospacing="0"/>
              <w:jc w:val="center"/>
            </w:pPr>
          </w:p>
          <w:p>
            <w:pPr>
              <w:pStyle w:val="2"/>
              <w:widowControl/>
              <w:spacing w:beforeAutospacing="0" w:after="300" w:afterAutospacing="0"/>
              <w:jc w:val="center"/>
            </w:pPr>
          </w:p>
          <w:p>
            <w:pPr>
              <w:pStyle w:val="2"/>
              <w:widowControl/>
              <w:spacing w:beforeAutospacing="0" w:after="300" w:afterAutospacing="0"/>
              <w:jc w:val="center"/>
            </w:pPr>
            <w:r>
              <w:rPr>
                <w:rFonts w:hint="eastAsia"/>
              </w:rPr>
              <w:t>弋阳县纪委监委</w:t>
            </w:r>
          </w:p>
          <w:p>
            <w:pPr>
              <w:pStyle w:val="2"/>
              <w:widowControl/>
              <w:spacing w:beforeAutospacing="0" w:after="300" w:afterAutospacing="0"/>
              <w:jc w:val="center"/>
            </w:pPr>
          </w:p>
          <w:p>
            <w:pPr>
              <w:pStyle w:val="2"/>
              <w:widowControl/>
              <w:spacing w:beforeAutospacing="0" w:after="300" w:afterAutospacing="0"/>
              <w:jc w:val="center"/>
            </w:pPr>
          </w:p>
          <w:p>
            <w:pPr>
              <w:pStyle w:val="2"/>
              <w:widowControl/>
              <w:spacing w:beforeAutospacing="0" w:after="300" w:afterAutospacing="0"/>
              <w:jc w:val="center"/>
            </w:pPr>
          </w:p>
          <w:p>
            <w:pPr>
              <w:pStyle w:val="2"/>
              <w:widowControl/>
              <w:spacing w:beforeAutospacing="0" w:after="300" w:afterAutospacing="0"/>
              <w:jc w:val="center"/>
            </w:pPr>
          </w:p>
        </w:tc>
        <w:tc>
          <w:tcPr>
            <w:tcW w:w="669" w:type="dxa"/>
            <w:tcBorders>
              <w:top w:val="single" w:color="auto" w:sz="4" w:space="0"/>
              <w:left w:val="nil"/>
              <w:bottom w:val="single" w:color="auto" w:sz="6" w:space="0"/>
              <w:right w:val="single" w:color="auto" w:sz="4" w:space="0"/>
            </w:tcBorders>
            <w:shd w:val="clear" w:color="auto" w:fill="auto"/>
            <w:noWrap w:val="0"/>
            <w:tcMar>
              <w:top w:w="15" w:type="dxa"/>
              <w:left w:w="15" w:type="dxa"/>
              <w:right w:w="15" w:type="dxa"/>
            </w:tcMar>
            <w:vAlign w:val="center"/>
          </w:tcPr>
          <w:p>
            <w:pPr>
              <w:pStyle w:val="2"/>
              <w:spacing w:after="300"/>
              <w:jc w:val="center"/>
            </w:pPr>
            <w:r>
              <w:rPr>
                <w:rFonts w:hint="eastAsia"/>
              </w:rPr>
              <w:t>派驻纪检监察组干部</w:t>
            </w:r>
          </w:p>
        </w:tc>
        <w:tc>
          <w:tcPr>
            <w:tcW w:w="993" w:type="dxa"/>
            <w:tcBorders>
              <w:top w:val="single" w:color="auto" w:sz="4" w:space="0"/>
              <w:left w:val="single" w:color="auto" w:sz="4" w:space="0"/>
              <w:bottom w:val="single" w:color="auto" w:sz="6" w:space="0"/>
              <w:right w:val="single" w:color="auto" w:sz="6" w:space="0"/>
            </w:tcBorders>
            <w:shd w:val="clear" w:color="auto" w:fill="auto"/>
            <w:noWrap w:val="0"/>
            <w:vAlign w:val="center"/>
          </w:tcPr>
          <w:p>
            <w:pPr>
              <w:pStyle w:val="2"/>
              <w:widowControl/>
              <w:spacing w:beforeAutospacing="0" w:after="300" w:afterAutospacing="0"/>
              <w:jc w:val="center"/>
            </w:pPr>
            <w:r>
              <w:rPr>
                <w:rFonts w:hint="eastAsia"/>
              </w:rPr>
              <w:t>5</w:t>
            </w:r>
          </w:p>
        </w:tc>
        <w:tc>
          <w:tcPr>
            <w:tcW w:w="1701" w:type="dxa"/>
            <w:tcBorders>
              <w:top w:val="single" w:color="auto" w:sz="4"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rPr>
                <w:rFonts w:hint="eastAsia"/>
              </w:rPr>
              <w:t>上饶市范围内已进行公务员登记的在编在岗副科级领导职务或三级主任科员及以下职务（职级）层次公务员</w:t>
            </w:r>
          </w:p>
        </w:tc>
        <w:tc>
          <w:tcPr>
            <w:tcW w:w="1701" w:type="dxa"/>
            <w:tcBorders>
              <w:top w:val="single" w:color="auto" w:sz="4"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19</w:t>
            </w:r>
            <w:r>
              <w:rPr>
                <w:rFonts w:hint="eastAsia"/>
              </w:rPr>
              <w:t>86</w:t>
            </w:r>
            <w:r>
              <w:t>年</w:t>
            </w:r>
            <w:r>
              <w:rPr>
                <w:rFonts w:hint="eastAsia"/>
              </w:rPr>
              <w:t>4</w:t>
            </w:r>
            <w:r>
              <w:t>月</w:t>
            </w:r>
            <w:r>
              <w:rPr>
                <w:rFonts w:hint="eastAsia"/>
              </w:rPr>
              <w:t>1</w:t>
            </w:r>
            <w:r>
              <w:t>日以后出生</w:t>
            </w:r>
          </w:p>
        </w:tc>
        <w:tc>
          <w:tcPr>
            <w:tcW w:w="1875" w:type="dxa"/>
            <w:tcBorders>
              <w:top w:val="single" w:color="auto" w:sz="4"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t>全日制</w:t>
            </w:r>
            <w:r>
              <w:rPr>
                <w:rFonts w:hint="eastAsia"/>
              </w:rPr>
              <w:t>本科</w:t>
            </w:r>
            <w:r>
              <w:t>及以上学历</w:t>
            </w:r>
            <w:r>
              <w:rPr>
                <w:rFonts w:hint="eastAsia"/>
              </w:rPr>
              <w:t>。</w:t>
            </w:r>
            <w:r>
              <w:t>在同等条件下，中共党员（含预备党员）</w:t>
            </w:r>
            <w:r>
              <w:rPr>
                <w:rFonts w:hint="eastAsia"/>
              </w:rPr>
              <w:t>、具有全日制硕士研究生以上学历和</w:t>
            </w:r>
            <w:r>
              <w:t>通过国家司法考试者优先</w:t>
            </w:r>
            <w:r>
              <w:rPr>
                <w:rFonts w:hint="eastAsia"/>
              </w:rPr>
              <w:t>录用。</w:t>
            </w:r>
          </w:p>
        </w:tc>
        <w:tc>
          <w:tcPr>
            <w:tcW w:w="716" w:type="dxa"/>
            <w:tcBorders>
              <w:top w:val="single" w:color="auto" w:sz="4" w:space="0"/>
              <w:left w:val="nil"/>
              <w:bottom w:val="single" w:color="auto" w:sz="6" w:space="0"/>
              <w:right w:val="single" w:color="auto" w:sz="6" w:space="0"/>
            </w:tcBorders>
            <w:shd w:val="clear" w:color="auto" w:fill="auto"/>
            <w:noWrap w:val="0"/>
            <w:tcMar>
              <w:top w:w="15" w:type="dxa"/>
              <w:left w:w="15" w:type="dxa"/>
              <w:right w:w="15" w:type="dxa"/>
            </w:tcMar>
            <w:vAlign w:val="center"/>
          </w:tcPr>
          <w:p>
            <w:pPr>
              <w:pStyle w:val="2"/>
              <w:widowControl/>
              <w:spacing w:beforeAutospacing="0" w:after="300" w:afterAutospacing="0"/>
              <w:jc w:val="center"/>
            </w:pPr>
            <w:r>
              <w:rPr>
                <w:rFonts w:hint="eastAsia"/>
              </w:rPr>
              <w:t>不限</w:t>
            </w:r>
          </w:p>
        </w:tc>
      </w:tr>
    </w:tbl>
    <w:p>
      <w:pPr>
        <w:pStyle w:val="2"/>
        <w:widowControl/>
        <w:shd w:val="clear" w:color="auto" w:fill="FFFFFF"/>
        <w:spacing w:beforeAutospacing="0" w:after="300" w:afterAutospacing="0"/>
        <w:rPr>
          <w:rFonts w:hint="eastAsia" w:ascii="微软雅黑" w:hAnsi="微软雅黑" w:eastAsia="微软雅黑" w:cs="微软雅黑"/>
          <w:shd w:val="clear" w:color="auto" w:fill="FFFFFF"/>
        </w:rPr>
      </w:pPr>
    </w:p>
    <w:p>
      <w:pPr>
        <w:pStyle w:val="2"/>
        <w:widowControl/>
        <w:shd w:val="clear" w:color="auto" w:fill="FFFFFF"/>
        <w:spacing w:beforeAutospacing="0" w:after="300" w:afterAutospacing="0"/>
        <w:rPr>
          <w:rFonts w:hint="eastAsia" w:ascii="微软雅黑" w:hAnsi="微软雅黑" w:eastAsia="微软雅黑" w:cs="微软雅黑"/>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05C83"/>
    <w:rsid w:val="7020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2021-04-06T10:41:00Z</dcterms:created>
  <dc:creator>李婧雯</dc:creator>
  <cp:lastModifiedBy>李婧雯</cp:lastModifiedBy>
  <dcterms:modified xsi:type="dcterms:W3CDTF">2021-04-06T10:41:42Z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EECC542DC7C4479AAECCB34CD1E1170C</vt:lpwstr>
  </property>
</Properties>
</file>