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sz w:val="32"/>
          <w:szCs w:val="32"/>
          <w:lang w:val="en-US" w:eastAsia="zh-CN"/>
        </w:rPr>
      </w:pPr>
      <w:bookmarkStart w:id="0" w:name="_GoBack"/>
      <w:bookmarkEnd w:id="0"/>
      <w:r>
        <w:rPr>
          <w:rFonts w:hint="eastAsia" w:ascii="黑体" w:hAnsi="黑体" w:eastAsia="黑体"/>
          <w:sz w:val="32"/>
          <w:szCs w:val="32"/>
        </w:rPr>
        <w:t>附件</w:t>
      </w:r>
      <w:r>
        <w:rPr>
          <w:rFonts w:hint="eastAsia" w:ascii="黑体" w:hAnsi="黑体" w:eastAsia="黑体"/>
          <w:sz w:val="32"/>
          <w:szCs w:val="32"/>
          <w:lang w:val="en-US" w:eastAsia="zh-CN"/>
        </w:rPr>
        <w:t>1</w:t>
      </w:r>
    </w:p>
    <w:p>
      <w:pPr>
        <w:pStyle w:val="2"/>
        <w:jc w:val="center"/>
        <w:rPr>
          <w:rFonts w:ascii="方正小标宋简体" w:hAnsi="黑体" w:eastAsia="方正小标宋简体"/>
          <w:spacing w:val="-6"/>
          <w:sz w:val="32"/>
          <w:szCs w:val="32"/>
        </w:rPr>
      </w:pPr>
      <w:r>
        <w:rPr>
          <w:rFonts w:hint="eastAsia" w:ascii="方正小标宋简体" w:hAnsi="黑体" w:eastAsia="方正小标宋简体"/>
          <w:spacing w:val="-6"/>
          <w:sz w:val="32"/>
          <w:szCs w:val="32"/>
        </w:rPr>
        <w:t>2020年安阳市龙安区事业单位面向社会公开引进急需紧缺及高层次人才岗位表</w:t>
      </w:r>
    </w:p>
    <w:tbl>
      <w:tblPr>
        <w:tblStyle w:val="4"/>
        <w:tblW w:w="1347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346"/>
        <w:gridCol w:w="1593"/>
        <w:gridCol w:w="822"/>
        <w:gridCol w:w="853"/>
        <w:gridCol w:w="2548"/>
        <w:gridCol w:w="1278"/>
        <w:gridCol w:w="1280"/>
        <w:gridCol w:w="1446"/>
        <w:gridCol w:w="856"/>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blHeader/>
        </w:trPr>
        <w:tc>
          <w:tcPr>
            <w:tcW w:w="456" w:type="dxa"/>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序号</w:t>
            </w:r>
          </w:p>
        </w:tc>
        <w:tc>
          <w:tcPr>
            <w:tcW w:w="1346" w:type="dxa"/>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引进单位</w:t>
            </w:r>
          </w:p>
        </w:tc>
        <w:tc>
          <w:tcPr>
            <w:tcW w:w="1593" w:type="dxa"/>
            <w:noWrap w:val="0"/>
            <w:vAlign w:val="center"/>
          </w:tcPr>
          <w:p>
            <w:pPr>
              <w:widowControl/>
              <w:jc w:val="center"/>
              <w:rPr>
                <w:rFonts w:ascii="黑体" w:hAnsi="黑体" w:eastAsia="黑体" w:cs="宋体"/>
                <w:kern w:val="0"/>
                <w:sz w:val="24"/>
              </w:rPr>
            </w:pPr>
            <w:r>
              <w:rPr>
                <w:rFonts w:hint="eastAsia" w:ascii="黑体" w:hAnsi="黑体" w:eastAsia="黑体" w:cs="宋体"/>
                <w:kern w:val="0"/>
                <w:sz w:val="24"/>
              </w:rPr>
              <w:t>引进单位</w:t>
            </w:r>
          </w:p>
          <w:p>
            <w:pPr>
              <w:widowControl/>
              <w:jc w:val="center"/>
              <w:rPr>
                <w:rFonts w:hint="eastAsia" w:ascii="黑体" w:hAnsi="黑体" w:eastAsia="黑体" w:cs="宋体"/>
                <w:kern w:val="0"/>
                <w:sz w:val="24"/>
              </w:rPr>
            </w:pPr>
            <w:r>
              <w:rPr>
                <w:rFonts w:hint="eastAsia" w:ascii="黑体" w:hAnsi="黑体" w:eastAsia="黑体" w:cs="宋体"/>
                <w:kern w:val="0"/>
                <w:sz w:val="24"/>
              </w:rPr>
              <w:t>二级机构</w:t>
            </w:r>
          </w:p>
        </w:tc>
        <w:tc>
          <w:tcPr>
            <w:tcW w:w="822" w:type="dxa"/>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性质</w:t>
            </w:r>
          </w:p>
        </w:tc>
        <w:tc>
          <w:tcPr>
            <w:tcW w:w="853" w:type="dxa"/>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岗位代码</w:t>
            </w:r>
          </w:p>
        </w:tc>
        <w:tc>
          <w:tcPr>
            <w:tcW w:w="2548" w:type="dxa"/>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专业</w:t>
            </w:r>
          </w:p>
        </w:tc>
        <w:tc>
          <w:tcPr>
            <w:tcW w:w="1278" w:type="dxa"/>
            <w:noWrap w:val="0"/>
            <w:vAlign w:val="center"/>
          </w:tcPr>
          <w:p>
            <w:pPr>
              <w:widowControl/>
              <w:jc w:val="center"/>
              <w:rPr>
                <w:rFonts w:hint="eastAsia" w:ascii="黑体" w:hAnsi="黑体" w:eastAsia="黑体" w:cs="宋体"/>
                <w:kern w:val="0"/>
                <w:sz w:val="24"/>
                <w:lang w:val="en-US" w:eastAsia="zh-CN"/>
              </w:rPr>
            </w:pPr>
            <w:r>
              <w:rPr>
                <w:rFonts w:hint="eastAsia" w:ascii="黑体" w:hAnsi="黑体" w:eastAsia="黑体" w:cs="宋体"/>
                <w:kern w:val="0"/>
                <w:sz w:val="24"/>
                <w:lang w:val="en-US" w:eastAsia="zh-CN"/>
              </w:rPr>
              <w:t>年龄</w:t>
            </w:r>
          </w:p>
        </w:tc>
        <w:tc>
          <w:tcPr>
            <w:tcW w:w="1280" w:type="dxa"/>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学历</w:t>
            </w:r>
          </w:p>
          <w:p>
            <w:pPr>
              <w:widowControl/>
              <w:jc w:val="center"/>
              <w:rPr>
                <w:rFonts w:hint="eastAsia" w:ascii="黑体" w:hAnsi="黑体" w:eastAsia="黑体" w:cs="宋体"/>
                <w:kern w:val="0"/>
                <w:sz w:val="24"/>
              </w:rPr>
            </w:pPr>
            <w:r>
              <w:rPr>
                <w:rFonts w:hint="eastAsia" w:ascii="黑体" w:hAnsi="黑体" w:eastAsia="黑体" w:cs="宋体"/>
                <w:kern w:val="0"/>
                <w:sz w:val="24"/>
              </w:rPr>
              <w:t>（学位）</w:t>
            </w:r>
          </w:p>
        </w:tc>
        <w:tc>
          <w:tcPr>
            <w:tcW w:w="1446" w:type="dxa"/>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专业技术</w:t>
            </w:r>
          </w:p>
          <w:p>
            <w:pPr>
              <w:widowControl/>
              <w:jc w:val="center"/>
              <w:rPr>
                <w:rFonts w:hint="eastAsia" w:ascii="黑体" w:hAnsi="黑体" w:eastAsia="黑体" w:cs="宋体"/>
                <w:kern w:val="0"/>
                <w:sz w:val="24"/>
              </w:rPr>
            </w:pPr>
            <w:r>
              <w:rPr>
                <w:rFonts w:hint="eastAsia" w:ascii="黑体" w:hAnsi="黑体" w:eastAsia="黑体" w:cs="宋体"/>
                <w:kern w:val="0"/>
                <w:sz w:val="24"/>
              </w:rPr>
              <w:t>任职资格</w:t>
            </w:r>
          </w:p>
        </w:tc>
        <w:tc>
          <w:tcPr>
            <w:tcW w:w="856" w:type="dxa"/>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需求</w:t>
            </w:r>
            <w:r>
              <w:rPr>
                <w:rFonts w:hint="eastAsia" w:ascii="黑体" w:hAnsi="黑体" w:eastAsia="黑体" w:cs="宋体"/>
                <w:kern w:val="0"/>
                <w:sz w:val="24"/>
              </w:rPr>
              <w:br w:type="textWrapping"/>
            </w:r>
            <w:r>
              <w:rPr>
                <w:rFonts w:hint="eastAsia" w:ascii="黑体" w:hAnsi="黑体" w:eastAsia="黑体" w:cs="宋体"/>
                <w:kern w:val="0"/>
                <w:sz w:val="24"/>
              </w:rPr>
              <w:t>人数</w:t>
            </w:r>
          </w:p>
        </w:tc>
        <w:tc>
          <w:tcPr>
            <w:tcW w:w="999" w:type="dxa"/>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456" w:type="dxa"/>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lang w:val="en-US" w:eastAsia="zh-CN"/>
              </w:rPr>
              <w:t>1</w:t>
            </w:r>
          </w:p>
        </w:tc>
        <w:tc>
          <w:tcPr>
            <w:tcW w:w="1346" w:type="dxa"/>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交通局</w:t>
            </w:r>
          </w:p>
        </w:tc>
        <w:tc>
          <w:tcPr>
            <w:tcW w:w="1593" w:type="dxa"/>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道路运输服务</w:t>
            </w:r>
          </w:p>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中心</w:t>
            </w:r>
          </w:p>
        </w:tc>
        <w:tc>
          <w:tcPr>
            <w:tcW w:w="822" w:type="dxa"/>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全供事业 </w:t>
            </w:r>
          </w:p>
        </w:tc>
        <w:tc>
          <w:tcPr>
            <w:tcW w:w="853" w:type="dxa"/>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0301</w:t>
            </w:r>
          </w:p>
        </w:tc>
        <w:tc>
          <w:tcPr>
            <w:tcW w:w="2548" w:type="dxa"/>
            <w:noWrap w:val="0"/>
            <w:vAlign w:val="center"/>
          </w:tcPr>
          <w:p>
            <w:pPr>
              <w:widowControl/>
              <w:jc w:val="both"/>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交通运输规划与管理、 金融</w:t>
            </w:r>
          </w:p>
        </w:tc>
        <w:tc>
          <w:tcPr>
            <w:tcW w:w="1278" w:type="dxa"/>
            <w:vMerge w:val="restart"/>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硕士研究生40周岁以下（1980年7月1日及以后出生）</w:t>
            </w:r>
          </w:p>
        </w:tc>
        <w:tc>
          <w:tcPr>
            <w:tcW w:w="1280" w:type="dxa"/>
            <w:vMerge w:val="restart"/>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全日制硕士研究生及以上学历和相应学位</w:t>
            </w:r>
          </w:p>
        </w:tc>
        <w:tc>
          <w:tcPr>
            <w:tcW w:w="1446" w:type="dxa"/>
            <w:vMerge w:val="restart"/>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副高级及以上职称须同时具备全日制本科及以上学历和相应学位</w:t>
            </w:r>
          </w:p>
        </w:tc>
        <w:tc>
          <w:tcPr>
            <w:tcW w:w="856" w:type="dxa"/>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999" w:type="dxa"/>
            <w:vMerge w:val="restart"/>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lang w:eastAsia="zh-CN"/>
              </w:rPr>
              <w:t>限河南省范围内户籍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456" w:type="dxa"/>
            <w:noWrap/>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lang w:val="en-US" w:eastAsia="zh-CN"/>
              </w:rPr>
              <w:t>2</w:t>
            </w:r>
          </w:p>
        </w:tc>
        <w:tc>
          <w:tcPr>
            <w:tcW w:w="1346" w:type="dxa"/>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应急管理局</w:t>
            </w:r>
          </w:p>
        </w:tc>
        <w:tc>
          <w:tcPr>
            <w:tcW w:w="1593" w:type="dxa"/>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防汛抗旱指挥</w:t>
            </w:r>
          </w:p>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事务中心</w:t>
            </w:r>
          </w:p>
        </w:tc>
        <w:tc>
          <w:tcPr>
            <w:tcW w:w="822" w:type="dxa"/>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全供事业</w:t>
            </w:r>
          </w:p>
        </w:tc>
        <w:tc>
          <w:tcPr>
            <w:tcW w:w="853" w:type="dxa"/>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0602</w:t>
            </w:r>
          </w:p>
        </w:tc>
        <w:tc>
          <w:tcPr>
            <w:tcW w:w="2548" w:type="dxa"/>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lang w:eastAsia="zh-CN"/>
              </w:rPr>
              <w:t>冶金物理化学、材料物理与化学</w:t>
            </w:r>
          </w:p>
        </w:tc>
        <w:tc>
          <w:tcPr>
            <w:tcW w:w="1278" w:type="dxa"/>
            <w:vMerge w:val="continue"/>
            <w:noWrap w:val="0"/>
            <w:vAlign w:val="center"/>
          </w:tcPr>
          <w:p>
            <w:pPr>
              <w:widowControl/>
              <w:jc w:val="center"/>
              <w:rPr>
                <w:rFonts w:hint="eastAsia" w:ascii="仿宋_GB2312" w:hAnsi="宋体" w:eastAsia="仿宋_GB2312" w:cs="宋体"/>
                <w:color w:val="000000"/>
                <w:kern w:val="0"/>
                <w:sz w:val="22"/>
                <w:szCs w:val="22"/>
              </w:rPr>
            </w:pPr>
          </w:p>
        </w:tc>
        <w:tc>
          <w:tcPr>
            <w:tcW w:w="1280" w:type="dxa"/>
            <w:vMerge w:val="continue"/>
            <w:noWrap w:val="0"/>
            <w:vAlign w:val="center"/>
          </w:tcPr>
          <w:p>
            <w:pPr>
              <w:widowControl/>
              <w:jc w:val="center"/>
              <w:rPr>
                <w:rFonts w:hint="eastAsia" w:ascii="仿宋_GB2312" w:hAnsi="宋体" w:eastAsia="仿宋_GB2312" w:cs="宋体"/>
                <w:color w:val="000000"/>
                <w:kern w:val="0"/>
                <w:sz w:val="22"/>
                <w:szCs w:val="22"/>
              </w:rPr>
            </w:pPr>
          </w:p>
        </w:tc>
        <w:tc>
          <w:tcPr>
            <w:tcW w:w="1446" w:type="dxa"/>
            <w:vMerge w:val="continue"/>
            <w:noWrap w:val="0"/>
            <w:vAlign w:val="center"/>
          </w:tcPr>
          <w:p>
            <w:pPr>
              <w:jc w:val="center"/>
              <w:rPr>
                <w:rFonts w:hint="eastAsia" w:ascii="仿宋_GB2312" w:hAnsi="宋体" w:eastAsia="仿宋_GB2312" w:cs="宋体"/>
                <w:color w:val="000000"/>
                <w:kern w:val="0"/>
                <w:sz w:val="22"/>
                <w:szCs w:val="22"/>
              </w:rPr>
            </w:pPr>
          </w:p>
        </w:tc>
        <w:tc>
          <w:tcPr>
            <w:tcW w:w="856" w:type="dxa"/>
            <w:noWrap w:val="0"/>
            <w:vAlign w:val="center"/>
          </w:tcPr>
          <w:p>
            <w:pPr>
              <w:widowControl/>
              <w:jc w:val="center"/>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w:t>
            </w:r>
          </w:p>
        </w:tc>
        <w:tc>
          <w:tcPr>
            <w:tcW w:w="999" w:type="dxa"/>
            <w:vMerge w:val="continue"/>
            <w:noWrap w:val="0"/>
            <w:vAlign w:val="center"/>
          </w:tcPr>
          <w:p>
            <w:pPr>
              <w:widowControl/>
              <w:jc w:val="lef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456" w:type="dxa"/>
            <w:noWrap w:val="0"/>
            <w:vAlign w:val="center"/>
          </w:tcPr>
          <w:p>
            <w:pPr>
              <w:widowControl/>
              <w:jc w:val="center"/>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lang w:val="en-US" w:eastAsia="zh-CN"/>
              </w:rPr>
              <w:t>3</w:t>
            </w:r>
          </w:p>
        </w:tc>
        <w:tc>
          <w:tcPr>
            <w:tcW w:w="1346" w:type="dxa"/>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财政局</w:t>
            </w:r>
          </w:p>
        </w:tc>
        <w:tc>
          <w:tcPr>
            <w:tcW w:w="1593" w:type="dxa"/>
            <w:noWrap w:val="0"/>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人民政府采购</w:t>
            </w:r>
          </w:p>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中心</w:t>
            </w:r>
          </w:p>
        </w:tc>
        <w:tc>
          <w:tcPr>
            <w:tcW w:w="822" w:type="dxa"/>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全供事业 </w:t>
            </w:r>
          </w:p>
        </w:tc>
        <w:tc>
          <w:tcPr>
            <w:tcW w:w="853" w:type="dxa"/>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0901</w:t>
            </w:r>
          </w:p>
        </w:tc>
        <w:tc>
          <w:tcPr>
            <w:tcW w:w="2548" w:type="dxa"/>
            <w:noWrap w:val="0"/>
            <w:vAlign w:val="center"/>
          </w:tcPr>
          <w:p>
            <w:pPr>
              <w:widowControl/>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lang w:eastAsia="zh-CN"/>
              </w:rPr>
              <w:t>市政工程、金融、应用经济学</w:t>
            </w:r>
          </w:p>
        </w:tc>
        <w:tc>
          <w:tcPr>
            <w:tcW w:w="1278" w:type="dxa"/>
            <w:vMerge w:val="continue"/>
            <w:noWrap w:val="0"/>
            <w:vAlign w:val="center"/>
          </w:tcPr>
          <w:p>
            <w:pPr>
              <w:jc w:val="center"/>
              <w:rPr>
                <w:rFonts w:hint="eastAsia" w:ascii="仿宋_GB2312" w:hAnsi="宋体" w:eastAsia="仿宋_GB2312" w:cs="宋体"/>
                <w:color w:val="000000"/>
                <w:kern w:val="0"/>
                <w:sz w:val="22"/>
                <w:szCs w:val="22"/>
              </w:rPr>
            </w:pPr>
          </w:p>
        </w:tc>
        <w:tc>
          <w:tcPr>
            <w:tcW w:w="1280" w:type="dxa"/>
            <w:vMerge w:val="continue"/>
            <w:noWrap w:val="0"/>
            <w:vAlign w:val="center"/>
          </w:tcPr>
          <w:p>
            <w:pPr>
              <w:jc w:val="center"/>
              <w:rPr>
                <w:rFonts w:hint="eastAsia" w:ascii="仿宋_GB2312" w:hAnsi="宋体" w:eastAsia="仿宋_GB2312" w:cs="宋体"/>
                <w:color w:val="000000"/>
                <w:kern w:val="0"/>
                <w:sz w:val="22"/>
                <w:szCs w:val="22"/>
              </w:rPr>
            </w:pPr>
          </w:p>
        </w:tc>
        <w:tc>
          <w:tcPr>
            <w:tcW w:w="1446" w:type="dxa"/>
            <w:vMerge w:val="continue"/>
            <w:noWrap w:val="0"/>
            <w:vAlign w:val="center"/>
          </w:tcPr>
          <w:p>
            <w:pPr>
              <w:jc w:val="center"/>
              <w:rPr>
                <w:rFonts w:hint="eastAsia" w:ascii="仿宋_GB2312" w:hAnsi="宋体" w:eastAsia="仿宋_GB2312" w:cs="宋体"/>
                <w:color w:val="000000"/>
                <w:kern w:val="0"/>
                <w:sz w:val="22"/>
                <w:szCs w:val="22"/>
              </w:rPr>
            </w:pPr>
          </w:p>
        </w:tc>
        <w:tc>
          <w:tcPr>
            <w:tcW w:w="856" w:type="dxa"/>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999" w:type="dxa"/>
            <w:vMerge w:val="continue"/>
            <w:noWrap w:val="0"/>
            <w:vAlign w:val="center"/>
          </w:tcPr>
          <w:p>
            <w:pPr>
              <w:widowControl/>
              <w:jc w:val="center"/>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56" w:type="dxa"/>
            <w:noWrap w:val="0"/>
            <w:vAlign w:val="center"/>
          </w:tcPr>
          <w:p>
            <w:pPr>
              <w:widowControl/>
              <w:jc w:val="center"/>
              <w:rPr>
                <w:rFonts w:hint="default"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4</w:t>
            </w:r>
          </w:p>
        </w:tc>
        <w:tc>
          <w:tcPr>
            <w:tcW w:w="1346" w:type="dxa"/>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产业集聚区</w:t>
            </w:r>
          </w:p>
        </w:tc>
        <w:tc>
          <w:tcPr>
            <w:tcW w:w="1593" w:type="dxa"/>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w:t>
            </w:r>
          </w:p>
        </w:tc>
        <w:tc>
          <w:tcPr>
            <w:tcW w:w="822" w:type="dxa"/>
            <w:noWrap w:val="0"/>
            <w:vAlign w:val="center"/>
          </w:tcPr>
          <w:p>
            <w:pPr>
              <w:widowControl/>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全供事业 </w:t>
            </w:r>
          </w:p>
        </w:tc>
        <w:tc>
          <w:tcPr>
            <w:tcW w:w="853" w:type="dxa"/>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1301</w:t>
            </w:r>
          </w:p>
        </w:tc>
        <w:tc>
          <w:tcPr>
            <w:tcW w:w="2548" w:type="dxa"/>
            <w:noWrap w:val="0"/>
            <w:vAlign w:val="center"/>
          </w:tcPr>
          <w:p>
            <w:pPr>
              <w:widowControl/>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lang w:eastAsia="zh-CN"/>
              </w:rPr>
              <w:t>金融</w:t>
            </w:r>
          </w:p>
        </w:tc>
        <w:tc>
          <w:tcPr>
            <w:tcW w:w="1278" w:type="dxa"/>
            <w:vMerge w:val="continue"/>
            <w:noWrap w:val="0"/>
            <w:vAlign w:val="center"/>
          </w:tcPr>
          <w:p>
            <w:pPr>
              <w:widowControl/>
              <w:jc w:val="center"/>
              <w:rPr>
                <w:rFonts w:hint="eastAsia" w:ascii="仿宋_GB2312" w:hAnsi="宋体" w:eastAsia="仿宋_GB2312" w:cs="宋体"/>
                <w:color w:val="000000"/>
                <w:kern w:val="0"/>
                <w:sz w:val="22"/>
                <w:szCs w:val="22"/>
              </w:rPr>
            </w:pPr>
          </w:p>
        </w:tc>
        <w:tc>
          <w:tcPr>
            <w:tcW w:w="1280" w:type="dxa"/>
            <w:vMerge w:val="continue"/>
            <w:noWrap w:val="0"/>
            <w:vAlign w:val="center"/>
          </w:tcPr>
          <w:p>
            <w:pPr>
              <w:widowControl/>
              <w:jc w:val="center"/>
              <w:rPr>
                <w:rFonts w:hint="eastAsia" w:ascii="仿宋_GB2312" w:hAnsi="宋体" w:eastAsia="仿宋_GB2312" w:cs="宋体"/>
                <w:color w:val="000000"/>
                <w:kern w:val="0"/>
                <w:sz w:val="22"/>
                <w:szCs w:val="22"/>
              </w:rPr>
            </w:pPr>
          </w:p>
        </w:tc>
        <w:tc>
          <w:tcPr>
            <w:tcW w:w="1446" w:type="dxa"/>
            <w:vMerge w:val="continue"/>
            <w:noWrap w:val="0"/>
            <w:vAlign w:val="center"/>
          </w:tcPr>
          <w:p>
            <w:pPr>
              <w:widowControl/>
              <w:jc w:val="center"/>
              <w:rPr>
                <w:rFonts w:hint="eastAsia" w:ascii="仿宋_GB2312" w:hAnsi="宋体" w:eastAsia="仿宋_GB2312" w:cs="宋体"/>
                <w:color w:val="000000"/>
                <w:kern w:val="0"/>
                <w:sz w:val="22"/>
                <w:szCs w:val="22"/>
              </w:rPr>
            </w:pPr>
          </w:p>
        </w:tc>
        <w:tc>
          <w:tcPr>
            <w:tcW w:w="856" w:type="dxa"/>
            <w:noWrap w:val="0"/>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999" w:type="dxa"/>
            <w:vMerge w:val="continue"/>
            <w:noWrap w:val="0"/>
            <w:vAlign w:val="center"/>
          </w:tcPr>
          <w:p>
            <w:pPr>
              <w:widowControl/>
              <w:jc w:val="center"/>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02"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总计</w:t>
            </w:r>
          </w:p>
        </w:tc>
        <w:tc>
          <w:tcPr>
            <w:tcW w:w="11675" w:type="dxa"/>
            <w:gridSpan w:val="9"/>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4</w:t>
            </w:r>
            <w:r>
              <w:rPr>
                <w:rFonts w:hint="eastAsia" w:ascii="仿宋_GB2312" w:hAnsi="宋体" w:eastAsia="仿宋_GB2312" w:cs="宋体"/>
                <w:kern w:val="0"/>
                <w:sz w:val="22"/>
                <w:szCs w:val="22"/>
              </w:rPr>
              <w:t>人</w:t>
            </w:r>
          </w:p>
        </w:tc>
      </w:tr>
    </w:tbl>
    <w:p>
      <w:pPr>
        <w:pStyle w:val="2"/>
        <w:spacing w:line="40" w:lineRule="exact"/>
        <w:jc w:val="center"/>
        <w:rPr>
          <w:rFonts w:hint="eastAsia" w:ascii="方正小标宋简体" w:hAnsi="黑体" w:eastAsia="方正小标宋简体"/>
          <w:sz w:val="44"/>
          <w:szCs w:val="44"/>
        </w:rPr>
      </w:pPr>
    </w:p>
    <w:p/>
    <w:sectPr>
      <w:headerReference r:id="rId3" w:type="default"/>
      <w:footerReference r:id="rId5" w:type="default"/>
      <w:headerReference r:id="rId4" w:type="even"/>
      <w:footerReference r:id="rId6" w:type="even"/>
      <w:pgSz w:w="16838" w:h="11906" w:orient="landscape"/>
      <w:pgMar w:top="1474" w:right="1474" w:bottom="1474" w:left="1985" w:header="851" w:footer="1077"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0" allowOverlap="1">
              <wp:simplePos x="0" y="0"/>
              <wp:positionH relativeFrom="page">
                <wp:posOffset>392430</wp:posOffset>
              </wp:positionH>
              <wp:positionV relativeFrom="page">
                <wp:posOffset>5856605</wp:posOffset>
              </wp:positionV>
              <wp:extent cx="762000" cy="895350"/>
              <wp:effectExtent l="0" t="0" r="0" b="0"/>
              <wp:wrapNone/>
              <wp:docPr id="1" name="矩形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a:noFill/>
                      </a:ln>
                    </wps:spPr>
                    <wps:txbx>
                      <w:txbxContent>
                        <w:p>
                          <w:pPr>
                            <w:jc w:val="center"/>
                            <w:rPr>
                              <w:rFonts w:ascii="等线 Light" w:hAnsi="等线 Light" w:eastAsia="等线 Light"/>
                              <w:sz w:val="48"/>
                              <w:szCs w:val="4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txbxContent>
                    </wps:txbx>
                    <wps:bodyPr vert="eaVert" upright="1"/>
                  </wps:wsp>
                </a:graphicData>
              </a:graphic>
            </wp:anchor>
          </w:drawing>
        </mc:Choice>
        <mc:Fallback>
          <w:pict>
            <v:rect id="_x0000_s1026" o:spid="_x0000_s1026" o:spt="1" style="position:absolute;left:0pt;margin-left:30.9pt;margin-top:461.15pt;height:70.5pt;width:60pt;mso-position-horizontal-relative:page;mso-position-vertical-relative:page;z-index:251659264;mso-width-relative:page;mso-height-relative:page;" fillcolor="#FFFFFF" filled="t" stroked="f" coordsize="21600,21600" o:allowincell="f" o:gfxdata="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1JczdoAAAALAQAADwAAAAAAAAABACAAAAAiAAAAZHJzL2Rvd25yZXYueG1s&#10;UEsBAhQAFAAAAAgAh07iQBdyzq+9AQAAdwMAAA4AAAAAAAAAAQAgAAAAKQEAAGRycy9lMm9Eb2Mu&#10;eG1sUEsFBgAAAAAGAAYAWQEAAFgFAAAAAA==&#10;">
              <v:fill on="t" focussize="0,0"/>
              <v:stroke on="f"/>
              <v:imagedata o:title=""/>
              <o:lock v:ext="edit" aspectratio="f"/>
              <v:textbox style="layout-flow:vertical-ideographic;">
                <w:txbxContent>
                  <w:p>
                    <w:pPr>
                      <w:jc w:val="center"/>
                      <w:rPr>
                        <w:rFonts w:ascii="等线 Light" w:hAnsi="等线 Light" w:eastAsia="等线 Light"/>
                        <w:sz w:val="48"/>
                        <w:szCs w:val="4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0" allowOverlap="1">
              <wp:simplePos x="0" y="0"/>
              <wp:positionH relativeFrom="page">
                <wp:posOffset>354330</wp:posOffset>
              </wp:positionH>
              <wp:positionV relativeFrom="page">
                <wp:posOffset>751205</wp:posOffset>
              </wp:positionV>
              <wp:extent cx="762000" cy="895350"/>
              <wp:effectExtent l="0" t="0" r="0" b="0"/>
              <wp:wrapNone/>
              <wp:docPr id="2" name="矩形 2"/>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a:noFill/>
                      </a:ln>
                    </wps:spPr>
                    <wps:txbx>
                      <w:txbxContent>
                        <w:p>
                          <w:pPr>
                            <w:jc w:val="center"/>
                            <w:rPr>
                              <w:rFonts w:ascii="等线 Light" w:hAnsi="等线 Light" w:eastAsia="等线 Light"/>
                              <w:sz w:val="48"/>
                              <w:szCs w:val="4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txbxContent>
                    </wps:txbx>
                    <wps:bodyPr vert="eaVert" upright="1"/>
                  </wps:wsp>
                </a:graphicData>
              </a:graphic>
            </wp:anchor>
          </w:drawing>
        </mc:Choice>
        <mc:Fallback>
          <w:pict>
            <v:rect id="_x0000_s1026" o:spid="_x0000_s1026" o:spt="1" style="position:absolute;left:0pt;margin-left:27.9pt;margin-top:59.15pt;height:70.5pt;width:60pt;mso-position-horizontal-relative:page;mso-position-vertical-relative:page;z-index:251658240;mso-width-relative:page;mso-height-relative:page;" fillcolor="#FFFFFF" filled="t" stroked="f" coordsize="21600,21600" o:allowincell="f" o:gfxdata="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K0zd92QAAAAoBAAAPAAAAAAAAAAEAIAAAACIAAABkcnMvZG93bnJldi54bWxQ&#10;SwECFAAUAAAACACHTuJAFVbAEb0BAAB3AwAADgAAAAAAAAABACAAAAAoAQAAZHJzL2Uyb0RvYy54&#10;bWxQSwUGAAAAAAYABgBZAQAAVwUAAAAA&#10;">
              <v:fill on="t" focussize="0,0"/>
              <v:stroke on="f"/>
              <v:imagedata o:title=""/>
              <o:lock v:ext="edit" aspectratio="f"/>
              <v:textbox style="layout-flow:vertical-ideographic;">
                <w:txbxContent>
                  <w:p>
                    <w:pPr>
                      <w:jc w:val="center"/>
                      <w:rPr>
                        <w:rFonts w:ascii="等线 Light" w:hAnsi="等线 Light" w:eastAsia="等线 Light"/>
                        <w:sz w:val="48"/>
                        <w:szCs w:val="4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0288D"/>
    <w:rsid w:val="027822D9"/>
    <w:rsid w:val="03180043"/>
    <w:rsid w:val="0A2F6B6A"/>
    <w:rsid w:val="123C0D00"/>
    <w:rsid w:val="1F581240"/>
    <w:rsid w:val="1FE4290D"/>
    <w:rsid w:val="23C9439E"/>
    <w:rsid w:val="3660425C"/>
    <w:rsid w:val="38AD3D18"/>
    <w:rsid w:val="3B71520A"/>
    <w:rsid w:val="5425570A"/>
    <w:rsid w:val="54C013DC"/>
    <w:rsid w:val="54E7141F"/>
    <w:rsid w:val="5F172EBD"/>
    <w:rsid w:val="6015569F"/>
    <w:rsid w:val="65FE35D4"/>
    <w:rsid w:val="6C8C498C"/>
    <w:rsid w:val="6F22274E"/>
    <w:rsid w:val="6F7B7AEE"/>
    <w:rsid w:val="78B852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_GB2312" w:hAnsi="Calibri" w:eastAsia="Times New Roman"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qFormat/>
    <w:uiPriority w:val="0"/>
    <w:rPr>
      <w:rFonts w:ascii="宋体" w:hAnsi="宋体" w:eastAsia="宋体"/>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用心良苦</cp:lastModifiedBy>
  <cp:lastPrinted>2021-01-25T01:49:00Z</cp:lastPrinted>
  <dcterms:modified xsi:type="dcterms:W3CDTF">2021-01-25T08:26:35Z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