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794"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78"/>
        <w:gridCol w:w="900"/>
        <w:gridCol w:w="900"/>
        <w:gridCol w:w="2340"/>
        <w:gridCol w:w="1620"/>
        <w:gridCol w:w="1440"/>
        <w:gridCol w:w="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24" w:hRule="atLeast"/>
        </w:trPr>
        <w:tc>
          <w:tcPr>
            <w:tcW w:w="57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ascii="仿宋_GB2312" w:hAnsi="微软雅黑" w:eastAsia="仿宋_GB2312" w:cs="仿宋_GB2312"/>
                <w:b/>
                <w:color w:val="333333"/>
                <w:kern w:val="0"/>
                <w:sz w:val="24"/>
                <w:szCs w:val="24"/>
                <w:bdr w:val="none" w:color="auto" w:sz="0" w:space="0"/>
                <w:lang w:val="en-US" w:eastAsia="zh-CN" w:bidi="ar"/>
              </w:rPr>
              <w:t>序号</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b/>
                <w:color w:val="333333"/>
                <w:kern w:val="0"/>
                <w:sz w:val="24"/>
                <w:szCs w:val="24"/>
                <w:bdr w:val="none" w:color="auto" w:sz="0" w:space="0"/>
                <w:lang w:val="en-US" w:eastAsia="zh-CN" w:bidi="ar"/>
              </w:rPr>
              <w:t>招聘岗位</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b/>
                <w:color w:val="333333"/>
                <w:kern w:val="0"/>
                <w:sz w:val="24"/>
                <w:szCs w:val="24"/>
                <w:bdr w:val="none" w:color="auto" w:sz="0" w:space="0"/>
                <w:lang w:val="en-US" w:eastAsia="zh-CN" w:bidi="ar"/>
              </w:rPr>
              <w:t>招聘</w:t>
            </w:r>
            <w:r>
              <w:rPr>
                <w:rFonts w:hint="default" w:ascii="仿宋_GB2312" w:hAnsi="微软雅黑" w:eastAsia="仿宋_GB2312" w:cs="仿宋_GB2312"/>
                <w:b/>
                <w:color w:val="333333"/>
                <w:kern w:val="0"/>
                <w:sz w:val="24"/>
                <w:szCs w:val="24"/>
                <w:bdr w:val="none" w:color="auto" w:sz="0" w:space="0"/>
                <w:lang w:val="en-US" w:eastAsia="zh-CN" w:bidi="ar"/>
              </w:rPr>
              <w:br w:type="textWrapping"/>
            </w:r>
            <w:r>
              <w:rPr>
                <w:rFonts w:hint="default" w:ascii="仿宋_GB2312" w:hAnsi="微软雅黑" w:eastAsia="仿宋_GB2312" w:cs="仿宋_GB2312"/>
                <w:b/>
                <w:color w:val="333333"/>
                <w:kern w:val="0"/>
                <w:sz w:val="24"/>
                <w:szCs w:val="24"/>
                <w:bdr w:val="none" w:color="auto" w:sz="0" w:space="0"/>
                <w:lang w:val="en-US" w:eastAsia="zh-CN" w:bidi="ar"/>
              </w:rPr>
              <w:t>人数</w:t>
            </w:r>
          </w:p>
        </w:tc>
        <w:tc>
          <w:tcPr>
            <w:tcW w:w="234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b/>
                <w:color w:val="333333"/>
                <w:kern w:val="0"/>
                <w:sz w:val="24"/>
                <w:szCs w:val="24"/>
                <w:bdr w:val="none" w:color="auto" w:sz="0" w:space="0"/>
                <w:lang w:val="en-US" w:eastAsia="zh-CN" w:bidi="ar"/>
              </w:rPr>
              <w:t>专业</w:t>
            </w:r>
          </w:p>
        </w:tc>
        <w:tc>
          <w:tcPr>
            <w:tcW w:w="162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b/>
                <w:color w:val="333333"/>
                <w:kern w:val="0"/>
                <w:sz w:val="24"/>
                <w:szCs w:val="24"/>
                <w:bdr w:val="none" w:color="auto" w:sz="0" w:space="0"/>
                <w:lang w:val="en-US" w:eastAsia="zh-CN" w:bidi="ar"/>
              </w:rPr>
              <w:t>学历学位</w:t>
            </w:r>
          </w:p>
        </w:tc>
        <w:tc>
          <w:tcPr>
            <w:tcW w:w="144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b/>
                <w:color w:val="333333"/>
                <w:kern w:val="0"/>
                <w:sz w:val="24"/>
                <w:szCs w:val="24"/>
                <w:bdr w:val="none" w:color="auto" w:sz="0" w:space="0"/>
                <w:lang w:val="en-US" w:eastAsia="zh-CN" w:bidi="ar"/>
              </w:rPr>
              <w:t>其他要求</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52" w:hRule="atLeast"/>
        </w:trPr>
        <w:tc>
          <w:tcPr>
            <w:tcW w:w="57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234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62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44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12"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001</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急危重症科 医师</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2</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临床医学（急诊医学方向、重症医学方向、心血管病方向、呼吸系病方向、肾病方向、消化系病方向）、内科学（重症医学方向、急诊医学方向、心血管病方向、呼吸系病方向、肾病方向、消化系病方向）、老年医学(心血管病方向)、重症医学、急诊医学</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研究生、硕士及以上</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持有执业医师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资格证书</w:t>
            </w:r>
            <w:r>
              <w:rPr>
                <w:rFonts w:hint="default" w:ascii="仿宋_GB2312" w:hAnsi="微软雅黑" w:eastAsia="仿宋_GB2312" w:cs="仿宋_GB2312"/>
                <w:color w:val="333333"/>
                <w:kern w:val="0"/>
                <w:sz w:val="24"/>
                <w:szCs w:val="24"/>
                <w:bdr w:val="none" w:color="auto" w:sz="0" w:space="0"/>
                <w:lang w:val="en-US" w:eastAsia="zh-CN" w:bidi="ar"/>
              </w:rPr>
              <w:t>　</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45"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002</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神经内科 医师</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临床医学（神经病学方向）、内科学（神经病学方向）、神经病学</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研究生、硕士及以上</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持有执业医师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资格证书</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71"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003</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内科医师</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临床医学（心血管病方向、呼吸系病方向、肾病方向、</w:t>
            </w:r>
            <w:r>
              <w:rPr>
                <w:rFonts w:hint="default" w:ascii="仿宋_GB2312" w:hAnsi="微软雅黑" w:eastAsia="仿宋_GB2312" w:cs="仿宋_GB2312"/>
                <w:color w:val="333333"/>
                <w:kern w:val="0"/>
                <w:sz w:val="24"/>
                <w:szCs w:val="24"/>
                <w:bdr w:val="none" w:color="auto" w:sz="0" w:space="0"/>
                <w:lang w:val="en-US" w:eastAsia="zh-CN" w:bidi="ar"/>
              </w:rPr>
              <w:t>神经病学方向、</w:t>
            </w:r>
            <w:r>
              <w:rPr>
                <w:rFonts w:hint="default" w:ascii="仿宋_GB2312" w:hAnsi="微软雅黑" w:eastAsia="仿宋_GB2312" w:cs="仿宋_GB2312"/>
                <w:color w:val="000000"/>
                <w:kern w:val="0"/>
                <w:sz w:val="24"/>
                <w:szCs w:val="24"/>
                <w:bdr w:val="none" w:color="auto" w:sz="0" w:space="0"/>
                <w:lang w:val="en-US" w:eastAsia="zh-CN" w:bidi="ar"/>
              </w:rPr>
              <w:t>风湿病方向、血液病方向）、内科学</w:t>
            </w:r>
            <w:r>
              <w:rPr>
                <w:rFonts w:hint="default" w:ascii="仿宋_GB2312" w:hAnsi="微软雅黑" w:eastAsia="仿宋_GB2312" w:cs="仿宋_GB2312"/>
                <w:color w:val="333333"/>
                <w:kern w:val="0"/>
                <w:sz w:val="24"/>
                <w:szCs w:val="24"/>
                <w:bdr w:val="none" w:color="auto" w:sz="0" w:space="0"/>
                <w:lang w:val="en-US" w:eastAsia="zh-CN" w:bidi="ar"/>
              </w:rPr>
              <w:t>（心血管病方向、呼吸系病方向、肾病方向、神经病学方向、</w:t>
            </w:r>
            <w:r>
              <w:rPr>
                <w:rFonts w:hint="default" w:ascii="仿宋_GB2312" w:hAnsi="微软雅黑" w:eastAsia="仿宋_GB2312" w:cs="仿宋_GB2312"/>
                <w:color w:val="000000"/>
                <w:kern w:val="0"/>
                <w:sz w:val="24"/>
                <w:szCs w:val="24"/>
                <w:bdr w:val="none" w:color="auto" w:sz="0" w:space="0"/>
                <w:lang w:val="en-US" w:eastAsia="zh-CN" w:bidi="ar"/>
              </w:rPr>
              <w:t>风湿病方向、血液病方向</w:t>
            </w:r>
            <w:r>
              <w:rPr>
                <w:rFonts w:hint="default" w:ascii="仿宋_GB2312" w:hAnsi="微软雅黑" w:eastAsia="仿宋_GB2312" w:cs="仿宋_GB2312"/>
                <w:color w:val="333333"/>
                <w:kern w:val="0"/>
                <w:sz w:val="24"/>
                <w:szCs w:val="24"/>
                <w:bdr w:val="none" w:color="auto" w:sz="0" w:space="0"/>
                <w:lang w:val="en-US" w:eastAsia="zh-CN" w:bidi="ar"/>
              </w:rPr>
              <w:t>）</w:t>
            </w:r>
            <w:r>
              <w:rPr>
                <w:rFonts w:hint="default" w:ascii="仿宋_GB2312" w:hAnsi="微软雅黑" w:eastAsia="仿宋_GB2312" w:cs="仿宋_GB2312"/>
                <w:color w:val="000000"/>
                <w:kern w:val="0"/>
                <w:sz w:val="24"/>
                <w:szCs w:val="24"/>
                <w:bdr w:val="none" w:color="auto" w:sz="0" w:space="0"/>
                <w:lang w:val="en-US" w:eastAsia="zh-CN" w:bidi="ar"/>
              </w:rPr>
              <w:t>、全科医学</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研究生、硕士及以上</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持有执业医师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资格证书</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71"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004</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消化内科 医师</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临床医学（消化系病方向）、内科学（消化系病方向）</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研究生、硕士及以上</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持有执业医师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资格证书</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71"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005</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中医科医师</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中医学、中医内科学、 中西医结合临床</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研究生、硕士及以上</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持有执业医师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资格证书</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71"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006</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耳鼻喉科 医师</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临床医学（耳鼻咽喉科学方向）、耳鼻咽喉科学</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研究生、硕士及以上</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default" w:ascii="仿宋_GB2312" w:hAnsi="微软雅黑" w:eastAsia="仿宋_GB2312" w:cs="仿宋_GB2312"/>
                <w:color w:val="000000"/>
                <w:kern w:val="0"/>
                <w:sz w:val="24"/>
                <w:szCs w:val="24"/>
                <w:bdr w:val="none" w:color="auto" w:sz="0" w:space="0"/>
                <w:lang w:val="en-US" w:eastAsia="zh-CN" w:bidi="ar"/>
              </w:rPr>
              <w:t>1. 持有执业医师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default" w:ascii="仿宋_GB2312" w:hAnsi="微软雅黑" w:eastAsia="仿宋_GB2312" w:cs="仿宋_GB2312"/>
                <w:color w:val="000000"/>
                <w:kern w:val="0"/>
                <w:sz w:val="24"/>
                <w:szCs w:val="24"/>
                <w:bdr w:val="none" w:color="auto" w:sz="0" w:space="0"/>
                <w:lang w:val="en-US" w:eastAsia="zh-CN" w:bidi="ar"/>
              </w:rPr>
              <w:t>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default" w:ascii="仿宋_GB2312" w:hAnsi="微软雅黑" w:eastAsia="仿宋_GB2312" w:cs="仿宋_GB2312"/>
                <w:color w:val="000000"/>
                <w:kern w:val="0"/>
                <w:sz w:val="24"/>
                <w:szCs w:val="24"/>
                <w:bdr w:val="none" w:color="auto" w:sz="0" w:space="0"/>
                <w:lang w:val="en-US" w:eastAsia="zh-CN" w:bidi="ar"/>
              </w:rPr>
              <w:t>2.取得住院医师规范化培训合格证书</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47"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007</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口腔科医师</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3</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口腔医学（口腔正畸学、口腔颌面外科学、口腔内科学、口腔修复学方向）、口腔临床医学（口腔正畸学、口腔颌面外科学、口腔内科学、口腔修复学方向）</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研究生、硕士及以上</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持有执业医师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资格证书</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40"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008</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口腔正畸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医师</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口腔医学（口腔正畸学方向）、口腔临床医学（口腔正畸学方向）</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研究生、硕士及以上</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default" w:ascii="仿宋_GB2312" w:hAnsi="微软雅黑" w:eastAsia="仿宋_GB2312" w:cs="仿宋_GB2312"/>
                <w:color w:val="333333"/>
                <w:kern w:val="0"/>
                <w:sz w:val="24"/>
                <w:szCs w:val="24"/>
                <w:bdr w:val="none" w:color="auto" w:sz="0" w:space="0"/>
                <w:lang w:val="en-US" w:eastAsia="zh-CN" w:bidi="ar"/>
              </w:rPr>
              <w:t>1.</w:t>
            </w:r>
            <w:r>
              <w:rPr>
                <w:rFonts w:hint="default" w:ascii="仿宋_GB2312" w:hAnsi="微软雅黑" w:eastAsia="仿宋_GB2312" w:cs="仿宋_GB2312"/>
                <w:color w:val="000000"/>
                <w:kern w:val="0"/>
                <w:sz w:val="24"/>
                <w:szCs w:val="24"/>
                <w:bdr w:val="none" w:color="auto" w:sz="0" w:space="0"/>
                <w:lang w:val="en-US" w:eastAsia="zh-CN" w:bidi="ar"/>
              </w:rPr>
              <w:t xml:space="preserve"> 持有执业医师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default" w:ascii="仿宋_GB2312" w:hAnsi="微软雅黑" w:eastAsia="仿宋_GB2312" w:cs="仿宋_GB2312"/>
                <w:color w:val="000000"/>
                <w:kern w:val="0"/>
                <w:sz w:val="24"/>
                <w:szCs w:val="24"/>
                <w:bdr w:val="none" w:color="auto" w:sz="0" w:space="0"/>
                <w:lang w:val="en-US" w:eastAsia="zh-CN" w:bidi="ar"/>
              </w:rPr>
              <w:t>资格证书</w:t>
            </w:r>
            <w:r>
              <w:rPr>
                <w:rFonts w:hint="default" w:ascii="仿宋_GB2312" w:hAnsi="微软雅黑" w:eastAsia="仿宋_GB2312" w:cs="仿宋_GB2312"/>
                <w:color w:val="333333"/>
                <w:kern w:val="0"/>
                <w:sz w:val="24"/>
                <w:szCs w:val="24"/>
                <w:bdr w:val="none" w:color="auto" w:sz="0" w:space="0"/>
                <w:lang w:val="en-US" w:eastAsia="zh-CN" w:bidi="ar"/>
              </w:rPr>
              <w:t xml:space="preserve"> 2.具有1年及以上相关工作经历</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40"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009</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麻醉科医师</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临床医学（麻醉学）、麻醉学</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研究生、硕士及以上</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持有执业医师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资格证书</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5"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010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放射科医师</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临床医学（放射诊断学CT、MR方向）、影像医学与核医学（放射诊断学CT、MR方向）</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研究生、硕士及以上</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 xml:space="preserve">取得住院医师规范化培训合格证书 </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5"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011</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超声科医师</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临床医学、医学影像学、影像医学与核医学（超声医学方向）</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本科及以上、学士及以上</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81"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012</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临床护理</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3</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护理学、护理</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大专及 以上</w:t>
            </w:r>
          </w:p>
        </w:tc>
        <w:tc>
          <w:tcPr>
            <w:tcW w:w="14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default" w:ascii="仿宋_GB2312" w:hAnsi="微软雅黑" w:eastAsia="仿宋_GB2312" w:cs="仿宋_GB2312"/>
                <w:color w:val="000000"/>
                <w:kern w:val="0"/>
                <w:sz w:val="24"/>
                <w:szCs w:val="24"/>
                <w:bdr w:val="none" w:color="auto" w:sz="0" w:space="0"/>
                <w:lang w:val="en-US" w:eastAsia="zh-CN" w:bidi="ar"/>
              </w:rPr>
              <w:t>1、2015、2016、2017届全日制普通高等院校毕业生；取得境外学历学位报名者届别认定以取得教育部留学服务中心出具的学历学位认证书年份为准；</w:t>
            </w:r>
            <w:r>
              <w:rPr>
                <w:rFonts w:hint="default" w:ascii="仿宋_GB2312" w:hAnsi="微软雅黑" w:eastAsia="仿宋_GB2312" w:cs="仿宋_GB2312"/>
                <w:color w:val="000000"/>
                <w:kern w:val="0"/>
                <w:sz w:val="24"/>
                <w:szCs w:val="24"/>
                <w:bdr w:val="none" w:color="auto" w:sz="0" w:space="0"/>
                <w:lang w:val="en-US" w:eastAsia="zh-CN" w:bidi="ar"/>
              </w:rPr>
              <w:br w:type="textWrapping"/>
            </w:r>
            <w:r>
              <w:rPr>
                <w:rFonts w:hint="default" w:ascii="仿宋_GB2312" w:hAnsi="微软雅黑" w:eastAsia="仿宋_GB2312" w:cs="仿宋_GB2312"/>
                <w:color w:val="000000"/>
                <w:kern w:val="0"/>
                <w:sz w:val="24"/>
                <w:szCs w:val="24"/>
                <w:bdr w:val="none" w:color="auto" w:sz="0" w:space="0"/>
                <w:lang w:val="en-US" w:eastAsia="zh-CN" w:bidi="ar"/>
              </w:rPr>
              <w:t>2、2015、2016届毕业生须取得护士执业资格证书；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default" w:ascii="仿宋_GB2312" w:hAnsi="微软雅黑" w:eastAsia="仿宋_GB2312" w:cs="仿宋_GB2312"/>
                <w:color w:val="000000"/>
                <w:kern w:val="0"/>
                <w:sz w:val="24"/>
                <w:szCs w:val="24"/>
                <w:bdr w:val="none" w:color="auto" w:sz="0" w:space="0"/>
                <w:lang w:val="en-US" w:eastAsia="zh-CN" w:bidi="ar"/>
              </w:rPr>
              <w:t>3、具有二级及以上医院护理实习或护理工作经历</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54" w:hRule="atLeast"/>
        </w:trPr>
        <w:tc>
          <w:tcPr>
            <w:tcW w:w="5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default" w:ascii="仿宋_GB2312" w:hAnsi="微软雅黑" w:eastAsia="仿宋_GB2312" w:cs="仿宋_GB2312"/>
                <w:color w:val="333333"/>
                <w:kern w:val="0"/>
                <w:sz w:val="24"/>
                <w:szCs w:val="24"/>
                <w:bdr w:val="none" w:color="auto" w:sz="0" w:space="0"/>
                <w:lang w:val="en-US" w:eastAsia="zh-CN" w:bidi="ar"/>
              </w:rPr>
              <w:t>合计</w:t>
            </w:r>
          </w:p>
        </w:tc>
        <w:tc>
          <w:tcPr>
            <w:tcW w:w="720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17人</w:t>
            </w:r>
          </w:p>
        </w:tc>
        <w:tc>
          <w:tcPr>
            <w:tcW w:w="16" w:type="dxa"/>
            <w:tcBorders>
              <w:top w:val="nil"/>
              <w:left w:val="nil"/>
              <w:bottom w:val="nil"/>
              <w:right w:val="nil"/>
            </w:tcBorders>
            <w:shd w:val="clear"/>
            <w:vAlign w:val="center"/>
          </w:tcPr>
          <w:p>
            <w:pPr>
              <w:rPr>
                <w:rFonts w:hint="eastAsia" w:ascii="微软雅黑" w:hAnsi="微软雅黑" w:eastAsia="微软雅黑" w:cs="微软雅黑"/>
                <w:color w:val="333333"/>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9D5A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2017-06-22T07:30:11Z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