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400" w:type="dxa"/>
        <w:jc w:val="center"/>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22"/>
        <w:gridCol w:w="1459"/>
        <w:gridCol w:w="703"/>
        <w:gridCol w:w="1882"/>
        <w:gridCol w:w="1610"/>
        <w:gridCol w:w="1254"/>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45" w:hRule="atLeast"/>
          <w:jc w:val="center"/>
        </w:trPr>
        <w:tc>
          <w:tcPr>
            <w:tcW w:w="42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岗位代码</w:t>
            </w:r>
          </w:p>
        </w:tc>
        <w:tc>
          <w:tcPr>
            <w:tcW w:w="145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招聘岗位</w:t>
            </w:r>
          </w:p>
        </w:tc>
        <w:tc>
          <w:tcPr>
            <w:tcW w:w="70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招聘人数</w:t>
            </w:r>
          </w:p>
        </w:tc>
        <w:tc>
          <w:tcPr>
            <w:tcW w:w="188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专业</w:t>
            </w:r>
          </w:p>
        </w:tc>
        <w:tc>
          <w:tcPr>
            <w:tcW w:w="161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学历/学位</w:t>
            </w:r>
          </w:p>
        </w:tc>
        <w:tc>
          <w:tcPr>
            <w:tcW w:w="1254"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其它要求</w:t>
            </w:r>
          </w:p>
        </w:tc>
        <w:tc>
          <w:tcPr>
            <w:tcW w:w="107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1" w:hRule="atLeast"/>
          <w:jc w:val="center"/>
        </w:trPr>
        <w:tc>
          <w:tcPr>
            <w:tcW w:w="42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01</w:t>
            </w:r>
          </w:p>
        </w:tc>
        <w:tc>
          <w:tcPr>
            <w:tcW w:w="145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电子商务专业教师</w:t>
            </w:r>
          </w:p>
        </w:tc>
        <w:tc>
          <w:tcPr>
            <w:tcW w:w="7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w:t>
            </w:r>
          </w:p>
        </w:tc>
        <w:tc>
          <w:tcPr>
            <w:tcW w:w="18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电子商务、市场营销、物流管理</w:t>
            </w:r>
          </w:p>
        </w:tc>
        <w:tc>
          <w:tcPr>
            <w:tcW w:w="16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全日制普通高等院校本科及以上学历、硕士及以上学位</w:t>
            </w:r>
          </w:p>
        </w:tc>
        <w:tc>
          <w:tcPr>
            <w:tcW w:w="1254"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本科及以上学历（所学专业或硕士及以上学位所学专业与岗位要求的专业相符均可）</w:t>
            </w:r>
          </w:p>
        </w:tc>
        <w:tc>
          <w:tcPr>
            <w:tcW w:w="1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按学校规定坐班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2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02</w:t>
            </w:r>
          </w:p>
        </w:tc>
        <w:tc>
          <w:tcPr>
            <w:tcW w:w="145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汽车理论教师</w:t>
            </w:r>
          </w:p>
        </w:tc>
        <w:tc>
          <w:tcPr>
            <w:tcW w:w="7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w:t>
            </w:r>
          </w:p>
        </w:tc>
        <w:tc>
          <w:tcPr>
            <w:tcW w:w="18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车辆工程、汽车服务工程、汽车检测与维修技术、汽车运用与维修、交通运输规划与管理、交通运输、交通工程</w:t>
            </w:r>
          </w:p>
        </w:tc>
        <w:tc>
          <w:tcPr>
            <w:tcW w:w="16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全日制普通高等院校本科及以上学历、硕士及以上学位</w:t>
            </w:r>
          </w:p>
        </w:tc>
        <w:tc>
          <w:tcPr>
            <w:tcW w:w="1254"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1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按学校规定坐班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42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03</w:t>
            </w:r>
          </w:p>
        </w:tc>
        <w:tc>
          <w:tcPr>
            <w:tcW w:w="145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土木工程专业教师</w:t>
            </w:r>
          </w:p>
        </w:tc>
        <w:tc>
          <w:tcPr>
            <w:tcW w:w="7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3</w:t>
            </w:r>
          </w:p>
        </w:tc>
        <w:tc>
          <w:tcPr>
            <w:tcW w:w="18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市政工程、结构工程、桥梁与隧道工程、土木工程、建筑环境与能源应用工程、工程造价管理、建筑与土木工程</w:t>
            </w:r>
          </w:p>
        </w:tc>
        <w:tc>
          <w:tcPr>
            <w:tcW w:w="16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全日制普通高等院校本科及以上学历、硕士及以上学位</w:t>
            </w:r>
          </w:p>
        </w:tc>
        <w:tc>
          <w:tcPr>
            <w:tcW w:w="1254"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1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按学校规定坐班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56" w:hRule="atLeast"/>
          <w:jc w:val="center"/>
        </w:trPr>
        <w:tc>
          <w:tcPr>
            <w:tcW w:w="42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04</w:t>
            </w:r>
          </w:p>
        </w:tc>
        <w:tc>
          <w:tcPr>
            <w:tcW w:w="145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建筑装饰专业教师</w:t>
            </w:r>
          </w:p>
        </w:tc>
        <w:tc>
          <w:tcPr>
            <w:tcW w:w="7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w:t>
            </w:r>
          </w:p>
        </w:tc>
        <w:tc>
          <w:tcPr>
            <w:tcW w:w="18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艺术设计学、艺术学、设计艺术学、艺术设计、环境设计、室内设计技术、装饰艺术设计</w:t>
            </w:r>
          </w:p>
        </w:tc>
        <w:tc>
          <w:tcPr>
            <w:tcW w:w="16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全日制普通高等院校本科及以上学历、硕士及以上学位</w:t>
            </w:r>
          </w:p>
        </w:tc>
        <w:tc>
          <w:tcPr>
            <w:tcW w:w="1254"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1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按学校规定坐班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56" w:hRule="atLeast"/>
          <w:jc w:val="center"/>
        </w:trPr>
        <w:tc>
          <w:tcPr>
            <w:tcW w:w="42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05</w:t>
            </w:r>
          </w:p>
        </w:tc>
        <w:tc>
          <w:tcPr>
            <w:tcW w:w="145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建筑设备专业教师</w:t>
            </w:r>
          </w:p>
        </w:tc>
        <w:tc>
          <w:tcPr>
            <w:tcW w:w="7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w:t>
            </w:r>
          </w:p>
        </w:tc>
        <w:tc>
          <w:tcPr>
            <w:tcW w:w="18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市政工程、结构工程、桥梁与隧道工程、土木工程、给排水科学与工程、建筑电气与智能化、建筑电气工程技术、机械制造工艺教育、建筑工程教育</w:t>
            </w:r>
          </w:p>
        </w:tc>
        <w:tc>
          <w:tcPr>
            <w:tcW w:w="16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全日制普通高等院校本科及以上学历、硕士及以上学位</w:t>
            </w:r>
          </w:p>
        </w:tc>
        <w:tc>
          <w:tcPr>
            <w:tcW w:w="1254"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1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按学校规定坐班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56" w:hRule="atLeast"/>
          <w:jc w:val="center"/>
        </w:trPr>
        <w:tc>
          <w:tcPr>
            <w:tcW w:w="42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06</w:t>
            </w:r>
          </w:p>
        </w:tc>
        <w:tc>
          <w:tcPr>
            <w:tcW w:w="145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会计专业教师</w:t>
            </w:r>
          </w:p>
        </w:tc>
        <w:tc>
          <w:tcPr>
            <w:tcW w:w="7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2</w:t>
            </w:r>
          </w:p>
        </w:tc>
        <w:tc>
          <w:tcPr>
            <w:tcW w:w="18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会计（学）、审计学、财务管理、会计与审计、企业会计与税务、财务会计(教育)、会计（财务）电算化</w:t>
            </w:r>
          </w:p>
        </w:tc>
        <w:tc>
          <w:tcPr>
            <w:tcW w:w="16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全日制普通高等院校本科及以上学历、硕士及以上学位</w:t>
            </w:r>
          </w:p>
        </w:tc>
        <w:tc>
          <w:tcPr>
            <w:tcW w:w="1254"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1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按学校规定坐班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11" w:hRule="atLeast"/>
          <w:jc w:val="center"/>
        </w:trPr>
        <w:tc>
          <w:tcPr>
            <w:tcW w:w="42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07</w:t>
            </w:r>
          </w:p>
        </w:tc>
        <w:tc>
          <w:tcPr>
            <w:tcW w:w="145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语文专业教师</w:t>
            </w:r>
          </w:p>
        </w:tc>
        <w:tc>
          <w:tcPr>
            <w:tcW w:w="7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w:t>
            </w:r>
          </w:p>
        </w:tc>
        <w:tc>
          <w:tcPr>
            <w:tcW w:w="18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语言学及应用语言学、汉语言文字学、汉语言文学、汉语言、中国语言文学（化）、中文应用</w:t>
            </w:r>
          </w:p>
        </w:tc>
        <w:tc>
          <w:tcPr>
            <w:tcW w:w="16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全日制普通高等院校本科及以上学历、硕士及以上学位</w:t>
            </w:r>
          </w:p>
        </w:tc>
        <w:tc>
          <w:tcPr>
            <w:tcW w:w="1254"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1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按学校规定坐班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11" w:hRule="atLeast"/>
          <w:jc w:val="center"/>
        </w:trPr>
        <w:tc>
          <w:tcPr>
            <w:tcW w:w="42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08</w:t>
            </w:r>
          </w:p>
        </w:tc>
        <w:tc>
          <w:tcPr>
            <w:tcW w:w="145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计算机专业教师</w:t>
            </w:r>
          </w:p>
        </w:tc>
        <w:tc>
          <w:tcPr>
            <w:tcW w:w="7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2</w:t>
            </w:r>
          </w:p>
        </w:tc>
        <w:tc>
          <w:tcPr>
            <w:tcW w:w="18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计算机软件与理论、计算机应用技术、计算机科学与技术、软件工程、网络工程、计算机网络技术与工程、网络技术与信息处理、计算机系统维护、计算机电子工程</w:t>
            </w:r>
          </w:p>
        </w:tc>
        <w:tc>
          <w:tcPr>
            <w:tcW w:w="16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全日制普通高等院校本科及以上学历、硕士及以上学位</w:t>
            </w:r>
          </w:p>
        </w:tc>
        <w:tc>
          <w:tcPr>
            <w:tcW w:w="1254"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1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按学校规定坐班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11" w:hRule="atLeast"/>
          <w:jc w:val="center"/>
        </w:trPr>
        <w:tc>
          <w:tcPr>
            <w:tcW w:w="42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09</w:t>
            </w:r>
          </w:p>
        </w:tc>
        <w:tc>
          <w:tcPr>
            <w:tcW w:w="145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电梯专业教师</w:t>
            </w:r>
          </w:p>
        </w:tc>
        <w:tc>
          <w:tcPr>
            <w:tcW w:w="7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w:t>
            </w:r>
          </w:p>
        </w:tc>
        <w:tc>
          <w:tcPr>
            <w:tcW w:w="18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建筑电气工程技术、建筑电气与智能化、机械设计制造及其自动化</w:t>
            </w:r>
          </w:p>
        </w:tc>
        <w:tc>
          <w:tcPr>
            <w:tcW w:w="16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全日制普通高等院校本科及以上学历、硕士及以上学位</w:t>
            </w:r>
          </w:p>
        </w:tc>
        <w:tc>
          <w:tcPr>
            <w:tcW w:w="1254"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1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按学校规定坐班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31" w:hRule="atLeast"/>
          <w:jc w:val="center"/>
        </w:trPr>
        <w:tc>
          <w:tcPr>
            <w:tcW w:w="42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10</w:t>
            </w:r>
          </w:p>
        </w:tc>
        <w:tc>
          <w:tcPr>
            <w:tcW w:w="145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电子商务专业实训指导教师</w:t>
            </w:r>
          </w:p>
        </w:tc>
        <w:tc>
          <w:tcPr>
            <w:tcW w:w="7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w:t>
            </w:r>
          </w:p>
        </w:tc>
        <w:tc>
          <w:tcPr>
            <w:tcW w:w="18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电子商务、市场营销、物流管理</w:t>
            </w:r>
          </w:p>
        </w:tc>
        <w:tc>
          <w:tcPr>
            <w:tcW w:w="16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全日制普通高等院校本科及以上学历、学士及以上学位</w:t>
            </w:r>
          </w:p>
        </w:tc>
        <w:tc>
          <w:tcPr>
            <w:tcW w:w="1254"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具有相关专业非教师系列中级及以上专业技术任职资格或技师及以上职业资格</w:t>
            </w:r>
          </w:p>
        </w:tc>
        <w:tc>
          <w:tcPr>
            <w:tcW w:w="1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按学校规定坐班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6" w:hRule="atLeast"/>
          <w:jc w:val="center"/>
        </w:trPr>
        <w:tc>
          <w:tcPr>
            <w:tcW w:w="42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11</w:t>
            </w:r>
          </w:p>
        </w:tc>
        <w:tc>
          <w:tcPr>
            <w:tcW w:w="145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汽车实训指导教师</w:t>
            </w:r>
          </w:p>
        </w:tc>
        <w:tc>
          <w:tcPr>
            <w:tcW w:w="7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w:t>
            </w:r>
          </w:p>
        </w:tc>
        <w:tc>
          <w:tcPr>
            <w:tcW w:w="18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汽车服务工程、车辆工程、汽车检测与维修技术、汽车运用与维修、机械制造工艺教育、汽车维修工程教育</w:t>
            </w:r>
          </w:p>
        </w:tc>
        <w:tc>
          <w:tcPr>
            <w:tcW w:w="16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全日制普通高等院校本科及以上学历、学士及以上学位</w:t>
            </w:r>
          </w:p>
        </w:tc>
        <w:tc>
          <w:tcPr>
            <w:tcW w:w="1254"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1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按学校规定坐班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jc w:val="center"/>
        </w:trPr>
        <w:tc>
          <w:tcPr>
            <w:tcW w:w="42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12</w:t>
            </w:r>
          </w:p>
        </w:tc>
        <w:tc>
          <w:tcPr>
            <w:tcW w:w="145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建筑实训教师</w:t>
            </w:r>
          </w:p>
        </w:tc>
        <w:tc>
          <w:tcPr>
            <w:tcW w:w="7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2</w:t>
            </w:r>
          </w:p>
        </w:tc>
        <w:tc>
          <w:tcPr>
            <w:tcW w:w="18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土木工程、工程管理、工程造价管理、建筑与土木工程、建筑设计及其理论、机械制造工艺教育、建筑工程教育、建筑材料工程教育、艺术设计学、艺术设计、环境设计、装饰艺术设计</w:t>
            </w:r>
          </w:p>
        </w:tc>
        <w:tc>
          <w:tcPr>
            <w:tcW w:w="16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全日制普通高等院校本科及以上学历、学士及以上学位</w:t>
            </w:r>
          </w:p>
        </w:tc>
        <w:tc>
          <w:tcPr>
            <w:tcW w:w="1254"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color w:val="333333"/>
                <w:sz w:val="18"/>
                <w:szCs w:val="18"/>
              </w:rPr>
            </w:pPr>
          </w:p>
        </w:tc>
        <w:tc>
          <w:tcPr>
            <w:tcW w:w="1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按学校规定坐班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06" w:hRule="atLeast"/>
          <w:jc w:val="center"/>
        </w:trPr>
        <w:tc>
          <w:tcPr>
            <w:tcW w:w="42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13</w:t>
            </w:r>
          </w:p>
        </w:tc>
        <w:tc>
          <w:tcPr>
            <w:tcW w:w="145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办公室科员</w:t>
            </w:r>
          </w:p>
        </w:tc>
        <w:tc>
          <w:tcPr>
            <w:tcW w:w="7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w:t>
            </w:r>
          </w:p>
        </w:tc>
        <w:tc>
          <w:tcPr>
            <w:tcW w:w="18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汉语言文学、汉语言、中国语言文学、思想政治教育、马克思主义基本原理</w:t>
            </w:r>
          </w:p>
        </w:tc>
        <w:tc>
          <w:tcPr>
            <w:tcW w:w="16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全日制普通高等院校本科及以上学历、学士及以上学位</w:t>
            </w:r>
          </w:p>
        </w:tc>
        <w:tc>
          <w:tcPr>
            <w:tcW w:w="125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jc w:val="left"/>
              <w:rPr>
                <w:rFonts w:hint="eastAsia" w:ascii="宋体" w:hAnsi="宋体" w:eastAsia="宋体" w:cs="宋体"/>
                <w:color w:val="333333"/>
                <w:sz w:val="18"/>
                <w:szCs w:val="18"/>
              </w:rPr>
            </w:pPr>
          </w:p>
        </w:tc>
        <w:tc>
          <w:tcPr>
            <w:tcW w:w="1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按学校规定坐班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6" w:hRule="atLeast"/>
          <w:jc w:val="center"/>
        </w:trPr>
        <w:tc>
          <w:tcPr>
            <w:tcW w:w="42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14</w:t>
            </w:r>
          </w:p>
        </w:tc>
        <w:tc>
          <w:tcPr>
            <w:tcW w:w="145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学生科学生管理员</w:t>
            </w:r>
          </w:p>
        </w:tc>
        <w:tc>
          <w:tcPr>
            <w:tcW w:w="7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w:t>
            </w:r>
          </w:p>
        </w:tc>
        <w:tc>
          <w:tcPr>
            <w:tcW w:w="18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专业不限</w:t>
            </w:r>
          </w:p>
        </w:tc>
        <w:tc>
          <w:tcPr>
            <w:tcW w:w="16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全日制普通高等院校本科及以上学历、学士及以上学位</w:t>
            </w:r>
          </w:p>
        </w:tc>
        <w:tc>
          <w:tcPr>
            <w:tcW w:w="12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具有一年及以上学生管理工作经历</w:t>
            </w:r>
          </w:p>
        </w:tc>
        <w:tc>
          <w:tcPr>
            <w:tcW w:w="1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按学校规定坐班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6" w:hRule="atLeast"/>
          <w:jc w:val="center"/>
        </w:trPr>
        <w:tc>
          <w:tcPr>
            <w:tcW w:w="42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15</w:t>
            </w:r>
          </w:p>
        </w:tc>
        <w:tc>
          <w:tcPr>
            <w:tcW w:w="145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学生科宿舍管理员</w:t>
            </w:r>
          </w:p>
        </w:tc>
        <w:tc>
          <w:tcPr>
            <w:tcW w:w="7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1</w:t>
            </w:r>
          </w:p>
        </w:tc>
        <w:tc>
          <w:tcPr>
            <w:tcW w:w="18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专业不限</w:t>
            </w:r>
          </w:p>
        </w:tc>
        <w:tc>
          <w:tcPr>
            <w:tcW w:w="16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全日制普通高等院校本科及以上学历、学士及以上学位</w:t>
            </w:r>
          </w:p>
        </w:tc>
        <w:tc>
          <w:tcPr>
            <w:tcW w:w="125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rPr>
                <w:sz w:val="21"/>
                <w:szCs w:val="21"/>
              </w:rPr>
            </w:pPr>
            <w:r>
              <w:rPr>
                <w:rFonts w:hint="eastAsia" w:ascii="宋体" w:hAnsi="宋体" w:eastAsia="宋体" w:cs="宋体"/>
                <w:color w:val="333333"/>
                <w:sz w:val="21"/>
                <w:szCs w:val="21"/>
                <w:bdr w:val="none" w:color="auto" w:sz="0" w:space="0"/>
              </w:rPr>
              <w:t>具有一年及以上学生管理工作经历</w:t>
            </w:r>
          </w:p>
        </w:tc>
        <w:tc>
          <w:tcPr>
            <w:tcW w:w="10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按学校规定坐班</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D471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Emphasis"/>
    <w:basedOn w:val="3"/>
    <w:qFormat/>
    <w:uiPriority w:val="0"/>
  </w:style>
  <w:style w:type="character" w:styleId="6">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2017-06-22T08:35:22Z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