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附件</w:t>
      </w: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浙江特殊教育职业学院公开招聘</w:t>
      </w:r>
    </w:p>
    <w:p>
      <w:pPr>
        <w:spacing w:line="580" w:lineRule="exact"/>
        <w:jc w:val="center"/>
        <w:rPr>
          <w:rFonts w:hint="eastAsia" w:ascii="黑体" w:hAnsi="黑体" w:eastAsia="黑体" w:cs="黑体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疫情防控指引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根据上级有关部门规定，结合学校疫情防控工作要求，凡参加本次招聘考试的考生，均需严格遵循以下防疫指引，未来有新要求和规定的，以学校校网公布信息为准：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一、考生应在资格复审前申领浙江“健康码”（可通过“浙里办”APP或支付宝办理）。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二、“健康码”为绿码且健康状况正常，经现场测量体温正常的考生可参加资格复审和考试。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三、以下情形考生经排除异常后可参加资格复审和考试：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（一）“健康码”非绿码的考生，须提供资格复审前7天内核酸检测阴性的证明材料方可参加资格复审和考试。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（二）既往新冠肺炎确诊病例、无症状感染者及密切接触者，应当主动向本校报告。除提供考前7天内2次（间隔24小时以上）核酸检测阴性证明材料外，还须出具肺部影像学检查无异常的证明，方可参加资格复审和考试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（三）“健康码”为绿码但出现发热（37.3℃以上）、干咳、乏力、咽痛、腹泻等任一症状的考生，应当主动到定点医院检测排查，核酸检测阴性，可安排在备用场地（考场）参加资格复审和考试。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四、以下情形考生不得参加资格复审和考试：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（一）仍在隔离治疗期的新冠肺炎确诊病例、疑似病例或无症状感染者，以及集中隔离期未满的密切接触者，不得参加。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（二）资格复审前14天内有国内疫情中、高风险地区（可通过国务院客户端小程序“疫情风险查询”）或国（境）外旅居史的人员，不得参加。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（三）按照疫情防控要求需提供相关健康证明但无法提供的考生，或体温异常（经三次测温）的考生，不得参加。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五、考生应当如实申报“校外人员健康申报表”并签名（表格附后），承诺已知悉告知事项、证明义务和防疫要求，自愿承担因不实承诺需承担的相关责任并接受处理。凡隐瞒或谎报旅居史、接触史、健康状况等疫情防控重点信息的，不配合工作人员进行健康检疫、询问、查询、送诊等造成严重后果的，取消其应聘资格，并上报上级主管部门，记入事业单位公开招聘应聘人员诚信档案库，长期记录；涉嫌违法犯罪的，移交有关机关依法追究法律责任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六、参加资格复审和考试的考生应自备一次性医用外科口罩。“健康码”非绿码、既往新冠肺炎感染者考试期间全程佩带口罩。其他考生通过考点入口时应戴口罩，在考场内自主决定是否戴口罩。考试期间若出现相关症状者，应立即戴好一次性医用外科口罩，做好个人防护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考生到达指定地点，需间隔1米排队查验相关材料，整个流程在工作人员的只会下迅速开展，避免聚集、逗留。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考生应当切实增强疫情防控意识，做好个人防护工作。考试前主动减少外出和不必要的聚集、人员接触。乘坐公共交通工具时应戴口罩，要加强途中防护，尽量与他人保持合理间距，途中尽量避免用手触摸公共交通工具上的物品，并及时进行手部清洁消毒。外省考生可依据自身情况提前来浙做好准备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960" w:firstLineChars="30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浙江特殊教育职业学院校外人员健康申报表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center"/>
        <w:textAlignment w:val="auto"/>
        <w:outlineLvl w:val="9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（请资格复审进校前或当天填写相应内容）</w:t>
      </w:r>
    </w:p>
    <w:tbl>
      <w:tblPr>
        <w:tblStyle w:val="5"/>
        <w:tblW w:w="9600" w:type="dxa"/>
        <w:tblInd w:w="-56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7"/>
        <w:gridCol w:w="2083"/>
        <w:gridCol w:w="1067"/>
        <w:gridCol w:w="1096"/>
        <w:gridCol w:w="121"/>
        <w:gridCol w:w="1050"/>
        <w:gridCol w:w="602"/>
        <w:gridCol w:w="19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637" w:type="dxa"/>
            <w:vAlign w:val="center"/>
          </w:tcPr>
          <w:p>
            <w:pPr>
              <w:spacing w:line="580" w:lineRule="exact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2083" w:type="dxa"/>
          </w:tcPr>
          <w:p>
            <w:pPr>
              <w:spacing w:line="580" w:lineRule="exact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067" w:type="dxa"/>
          </w:tcPr>
          <w:p>
            <w:pPr>
              <w:spacing w:line="580" w:lineRule="exact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1217" w:type="dxa"/>
            <w:gridSpan w:val="2"/>
          </w:tcPr>
          <w:p>
            <w:pPr>
              <w:spacing w:line="580" w:lineRule="exact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050" w:type="dxa"/>
          </w:tcPr>
          <w:p>
            <w:pPr>
              <w:spacing w:line="580" w:lineRule="exact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民族</w:t>
            </w:r>
          </w:p>
        </w:tc>
        <w:tc>
          <w:tcPr>
            <w:tcW w:w="2546" w:type="dxa"/>
            <w:gridSpan w:val="2"/>
          </w:tcPr>
          <w:p>
            <w:pPr>
              <w:spacing w:line="580" w:lineRule="exact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637" w:type="dxa"/>
            <w:vAlign w:val="center"/>
          </w:tcPr>
          <w:p>
            <w:pPr>
              <w:spacing w:line="580" w:lineRule="exact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4367" w:type="dxa"/>
            <w:gridSpan w:val="4"/>
          </w:tcPr>
          <w:p>
            <w:pPr>
              <w:spacing w:line="580" w:lineRule="exact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050" w:type="dxa"/>
          </w:tcPr>
          <w:p>
            <w:pPr>
              <w:spacing w:line="580" w:lineRule="exact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籍贯</w:t>
            </w:r>
          </w:p>
        </w:tc>
        <w:tc>
          <w:tcPr>
            <w:tcW w:w="2546" w:type="dxa"/>
            <w:gridSpan w:val="2"/>
          </w:tcPr>
          <w:p>
            <w:pPr>
              <w:spacing w:line="580" w:lineRule="exact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</w:trPr>
        <w:tc>
          <w:tcPr>
            <w:tcW w:w="1637" w:type="dxa"/>
            <w:vAlign w:val="center"/>
          </w:tcPr>
          <w:p>
            <w:pPr>
              <w:spacing w:line="580" w:lineRule="exact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现住址</w:t>
            </w:r>
          </w:p>
        </w:tc>
        <w:tc>
          <w:tcPr>
            <w:tcW w:w="7963" w:type="dxa"/>
            <w:gridSpan w:val="7"/>
          </w:tcPr>
          <w:p>
            <w:pPr>
              <w:spacing w:line="580" w:lineRule="exact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省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u w:val="single"/>
              </w:rPr>
              <w:t xml:space="preserve">        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市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县（区）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乡（镇、街道）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u w:val="single"/>
              </w:rPr>
              <w:t xml:space="preserve">                                    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村（小区）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637" w:type="dxa"/>
            <w:vAlign w:val="center"/>
          </w:tcPr>
          <w:p>
            <w:pPr>
              <w:spacing w:line="580" w:lineRule="exact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现工作单位</w:t>
            </w:r>
          </w:p>
        </w:tc>
        <w:tc>
          <w:tcPr>
            <w:tcW w:w="4246" w:type="dxa"/>
            <w:gridSpan w:val="3"/>
          </w:tcPr>
          <w:p>
            <w:pPr>
              <w:spacing w:line="580" w:lineRule="exact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773" w:type="dxa"/>
            <w:gridSpan w:val="3"/>
          </w:tcPr>
          <w:p>
            <w:pPr>
              <w:spacing w:line="580" w:lineRule="exact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手机号码</w:t>
            </w:r>
          </w:p>
        </w:tc>
        <w:tc>
          <w:tcPr>
            <w:tcW w:w="1944" w:type="dxa"/>
          </w:tcPr>
          <w:p>
            <w:pPr>
              <w:spacing w:line="580" w:lineRule="exact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3720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疫情防控</w:t>
            </w:r>
          </w:p>
        </w:tc>
        <w:tc>
          <w:tcPr>
            <w:tcW w:w="2163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</w:rPr>
            </w:pPr>
            <w:r>
              <w:rPr>
                <w:rFonts w:hint="eastAsia" w:ascii="仿宋_GB2312" w:eastAsia="仿宋_GB2312" w:hAnsiTheme="majorEastAsia"/>
                <w:color w:val="auto"/>
                <w:sz w:val="28"/>
                <w:szCs w:val="28"/>
              </w:rPr>
              <w:t>现状</w:t>
            </w:r>
          </w:p>
        </w:tc>
        <w:tc>
          <w:tcPr>
            <w:tcW w:w="3717" w:type="dxa"/>
            <w:gridSpan w:val="4"/>
            <w:vAlign w:val="center"/>
          </w:tcPr>
          <w:p>
            <w:pPr>
              <w:spacing w:line="580" w:lineRule="exact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</w:rPr>
            </w:pPr>
            <w:r>
              <w:rPr>
                <w:rFonts w:hint="eastAsia" w:ascii="仿宋_GB2312" w:eastAsia="仿宋_GB2312" w:hAnsiTheme="majorEastAsia"/>
                <w:color w:val="auto"/>
                <w:sz w:val="28"/>
                <w:szCs w:val="28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3720" w:type="dxa"/>
            <w:gridSpan w:val="2"/>
            <w:vAlign w:val="center"/>
          </w:tcPr>
          <w:p>
            <w:pPr>
              <w:spacing w:line="360" w:lineRule="exact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pacing w:val="-10"/>
                <w:sz w:val="24"/>
                <w:szCs w:val="24"/>
              </w:rPr>
              <w:t>浙江“健康码”（杭州）为绿码</w:t>
            </w:r>
          </w:p>
        </w:tc>
        <w:tc>
          <w:tcPr>
            <w:tcW w:w="1067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□是</w:t>
            </w:r>
          </w:p>
        </w:tc>
        <w:tc>
          <w:tcPr>
            <w:tcW w:w="1096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□否</w:t>
            </w:r>
          </w:p>
        </w:tc>
        <w:tc>
          <w:tcPr>
            <w:tcW w:w="3717" w:type="dxa"/>
            <w:gridSpan w:val="4"/>
            <w:vMerge w:val="restart"/>
            <w:vAlign w:val="center"/>
          </w:tcPr>
          <w:p>
            <w:pPr>
              <w:spacing w:line="360" w:lineRule="exact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绿码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体温正常</w:t>
            </w:r>
            <w:r>
              <w:rPr>
                <w:rFonts w:hint="eastAsia" w:ascii="仿宋" w:hAnsi="仿宋" w:eastAsia="仿宋" w:cs="仿宋"/>
                <w:color w:val="auto"/>
                <w:spacing w:val="-10"/>
                <w:sz w:val="24"/>
                <w:szCs w:val="24"/>
                <w:lang w:val="en-US" w:eastAsia="zh-CN"/>
              </w:rPr>
              <w:t>。可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通行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3720" w:type="dxa"/>
            <w:gridSpan w:val="2"/>
            <w:vAlign w:val="center"/>
          </w:tcPr>
          <w:p>
            <w:pPr>
              <w:spacing w:line="360" w:lineRule="exact"/>
              <w:rPr>
                <w:rFonts w:hint="eastAsia" w:ascii="仿宋" w:hAnsi="仿宋" w:eastAsia="仿宋" w:cs="仿宋"/>
                <w:color w:val="auto"/>
                <w:spacing w:val="-1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pacing w:val="-10"/>
                <w:sz w:val="24"/>
                <w:szCs w:val="24"/>
                <w:lang w:val="en-US" w:eastAsia="zh-CN"/>
              </w:rPr>
              <w:t>现场体温测试（低于37.3℃）</w:t>
            </w:r>
          </w:p>
        </w:tc>
        <w:tc>
          <w:tcPr>
            <w:tcW w:w="1067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□是</w:t>
            </w:r>
          </w:p>
        </w:tc>
        <w:tc>
          <w:tcPr>
            <w:tcW w:w="1096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□否</w:t>
            </w:r>
          </w:p>
        </w:tc>
        <w:tc>
          <w:tcPr>
            <w:tcW w:w="3717" w:type="dxa"/>
            <w:gridSpan w:val="4"/>
            <w:vMerge w:val="continue"/>
            <w:vAlign w:val="center"/>
          </w:tcPr>
          <w:p>
            <w:pPr>
              <w:spacing w:line="360" w:lineRule="exact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5883" w:type="dxa"/>
            <w:gridSpan w:val="4"/>
            <w:vAlign w:val="center"/>
          </w:tcPr>
          <w:p>
            <w:pPr>
              <w:spacing w:line="5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pacing w:val="-10"/>
                <w:sz w:val="24"/>
                <w:szCs w:val="24"/>
              </w:rPr>
              <w:t>浙江“健康码”（杭州）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为非绿码</w:t>
            </w:r>
          </w:p>
        </w:tc>
        <w:tc>
          <w:tcPr>
            <w:tcW w:w="3717" w:type="dxa"/>
            <w:gridSpan w:val="4"/>
            <w:vMerge w:val="restart"/>
            <w:vAlign w:val="center"/>
          </w:tcPr>
          <w:p>
            <w:pPr>
              <w:spacing w:line="360" w:lineRule="exac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若是，提供7天内核酸检测阴性的证明材料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</w:trPr>
        <w:tc>
          <w:tcPr>
            <w:tcW w:w="3720" w:type="dxa"/>
            <w:gridSpan w:val="2"/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color w:val="auto"/>
                <w:spacing w:val="-1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目前有发热（37.3℃以上），干咳、乏力、咽痛、腹泻等任一症状</w:t>
            </w:r>
          </w:p>
        </w:tc>
        <w:tc>
          <w:tcPr>
            <w:tcW w:w="1067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□是</w:t>
            </w:r>
          </w:p>
        </w:tc>
        <w:tc>
          <w:tcPr>
            <w:tcW w:w="1096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□否</w:t>
            </w:r>
          </w:p>
        </w:tc>
        <w:tc>
          <w:tcPr>
            <w:tcW w:w="3717" w:type="dxa"/>
            <w:gridSpan w:val="4"/>
            <w:vMerge w:val="continue"/>
            <w:vAlign w:val="center"/>
          </w:tcPr>
          <w:p>
            <w:pPr>
              <w:spacing w:line="360" w:lineRule="exac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7" w:hRule="atLeast"/>
        </w:trPr>
        <w:tc>
          <w:tcPr>
            <w:tcW w:w="3720" w:type="dxa"/>
            <w:gridSpan w:val="2"/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color w:val="auto"/>
                <w:spacing w:val="-1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既往新冠肺炎确诊病例、无症状感染者及密切接触者</w:t>
            </w:r>
          </w:p>
        </w:tc>
        <w:tc>
          <w:tcPr>
            <w:tcW w:w="1067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□是</w:t>
            </w:r>
          </w:p>
        </w:tc>
        <w:tc>
          <w:tcPr>
            <w:tcW w:w="1096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□否</w:t>
            </w:r>
          </w:p>
        </w:tc>
        <w:tc>
          <w:tcPr>
            <w:tcW w:w="3717" w:type="dxa"/>
            <w:gridSpan w:val="4"/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若是，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同时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提供：</w:t>
            </w:r>
          </w:p>
          <w:p>
            <w:pPr>
              <w:spacing w:line="300" w:lineRule="exac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1.前7天内2次（间隔24小时以上）核酸检测阴性证明材料。</w:t>
            </w:r>
          </w:p>
          <w:p>
            <w:pPr>
              <w:spacing w:line="360" w:lineRule="exac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2.肺部影像学检查无异常的证明。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5" w:hRule="atLeast"/>
        </w:trPr>
        <w:tc>
          <w:tcPr>
            <w:tcW w:w="3720" w:type="dxa"/>
            <w:gridSpan w:val="2"/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color w:val="auto"/>
                <w:spacing w:val="-1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仍在隔离治疗期的新冠肺炎确诊病例、疑似病例或无症状感染者，以及集中隔离期未满的密切接触者</w:t>
            </w:r>
          </w:p>
        </w:tc>
        <w:tc>
          <w:tcPr>
            <w:tcW w:w="1067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□是</w:t>
            </w:r>
          </w:p>
        </w:tc>
        <w:tc>
          <w:tcPr>
            <w:tcW w:w="1096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□否</w:t>
            </w:r>
          </w:p>
        </w:tc>
        <w:tc>
          <w:tcPr>
            <w:tcW w:w="3717" w:type="dxa"/>
            <w:gridSpan w:val="4"/>
            <w:vMerge w:val="restart"/>
            <w:vAlign w:val="center"/>
          </w:tcPr>
          <w:p>
            <w:pPr>
              <w:spacing w:line="360" w:lineRule="exac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若是，不得参加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资格复审和考试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</w:trPr>
        <w:tc>
          <w:tcPr>
            <w:tcW w:w="3720" w:type="dxa"/>
            <w:gridSpan w:val="2"/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color w:val="auto"/>
                <w:spacing w:val="-1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前14天内有国内疫情中、高风险地区或国（境）外旅居史的人员</w:t>
            </w:r>
          </w:p>
        </w:tc>
        <w:tc>
          <w:tcPr>
            <w:tcW w:w="1067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□是</w:t>
            </w:r>
          </w:p>
        </w:tc>
        <w:tc>
          <w:tcPr>
            <w:tcW w:w="1096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□否</w:t>
            </w:r>
          </w:p>
        </w:tc>
        <w:tc>
          <w:tcPr>
            <w:tcW w:w="3717" w:type="dxa"/>
            <w:gridSpan w:val="4"/>
            <w:vMerge w:val="continue"/>
            <w:vAlign w:val="center"/>
          </w:tcPr>
          <w:p>
            <w:pPr>
              <w:spacing w:line="360" w:lineRule="exact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</w:trPr>
        <w:tc>
          <w:tcPr>
            <w:tcW w:w="3720" w:type="dxa"/>
            <w:gridSpan w:val="2"/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需提供相关健康证明但无法提供；或体温异常（测温三次）</w:t>
            </w:r>
          </w:p>
        </w:tc>
        <w:tc>
          <w:tcPr>
            <w:tcW w:w="1067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□是</w:t>
            </w:r>
          </w:p>
        </w:tc>
        <w:tc>
          <w:tcPr>
            <w:tcW w:w="1096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□否</w:t>
            </w:r>
          </w:p>
        </w:tc>
        <w:tc>
          <w:tcPr>
            <w:tcW w:w="3717" w:type="dxa"/>
            <w:gridSpan w:val="4"/>
            <w:vMerge w:val="continue"/>
            <w:vAlign w:val="center"/>
          </w:tcPr>
          <w:p>
            <w:pPr>
              <w:spacing w:line="360" w:lineRule="exact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</w:tbl>
    <w:p>
      <w:pPr>
        <w:spacing w:line="580" w:lineRule="exact"/>
        <w:rPr>
          <w:rFonts w:hint="eastAsia" w:asciiTheme="majorEastAsia" w:hAnsiTheme="majorEastAsia" w:eastAsiaTheme="majorEastAsia"/>
          <w:color w:val="auto"/>
          <w:sz w:val="28"/>
          <w:szCs w:val="28"/>
        </w:rPr>
      </w:pP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个人十四天运动轨迹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center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（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请以资格复审进校前一天查询结果为准）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（发送短信cxmyd，根据自己手机的运营商不同，分别发送给短信至10001（电信）、10086（移动）或者10010（联通），收到短信提示后输入身份证后4位进行验证，将最终返回的查询结果短信截图）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4" w:hRule="atLeast"/>
        </w:trPr>
        <w:tc>
          <w:tcPr>
            <w:tcW w:w="8522" w:type="dxa"/>
          </w:tcPr>
          <w:p>
            <w:pP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短信截图：</w:t>
            </w:r>
          </w:p>
        </w:tc>
      </w:tr>
    </w:tbl>
    <w:p>
      <w:pPr>
        <w:rPr>
          <w:rFonts w:hint="eastAsia" w:ascii="仿宋" w:hAnsi="仿宋" w:eastAsia="仿宋" w:cs="仿宋"/>
          <w:color w:val="auto"/>
          <w:sz w:val="28"/>
          <w:szCs w:val="28"/>
        </w:rPr>
      </w:pPr>
    </w:p>
    <w:p>
      <w:pPr>
        <w:pStyle w:val="6"/>
        <w:spacing w:before="312" w:beforeLines="100"/>
        <w:ind w:firstLine="400"/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  <w:t>本人承诺上述情况属实，如有虚假，自愿承担因不实承诺需承担的相关责任并接受处理。凡隐瞒或谎报旅居史、接触史、健康状况等疫情防控重点信息，不配合工作人员进行健康检疫、询问、查询、送诊等造成严重后果，取消相应资格，如有违法行为将依法承担法律责任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  <w:lang w:eastAsia="zh-CN"/>
        </w:rPr>
        <w:t>。</w:t>
      </w:r>
    </w:p>
    <w:p>
      <w:pPr>
        <w:pStyle w:val="6"/>
        <w:spacing w:before="312" w:beforeLines="100"/>
        <w:ind w:firstLine="4800" w:firstLineChars="1500"/>
        <w:rPr>
          <w:rFonts w:hint="eastAsia" w:ascii="仿宋" w:hAnsi="仿宋" w:eastAsia="仿宋" w:cs="仿宋"/>
          <w:color w:val="auto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  <w:t xml:space="preserve">申报人签名：   </w:t>
      </w:r>
      <w:r>
        <w:rPr>
          <w:rFonts w:hint="eastAsia" w:ascii="仿宋" w:hAnsi="仿宋" w:eastAsia="仿宋" w:cs="仿宋"/>
          <w:color w:val="auto"/>
          <w:sz w:val="28"/>
          <w:szCs w:val="28"/>
          <w:shd w:val="clear" w:color="auto" w:fill="FFFFFF"/>
        </w:rPr>
        <w:t xml:space="preserve">                   </w:t>
      </w:r>
    </w:p>
    <w:p>
      <w:pPr>
        <w:pStyle w:val="6"/>
        <w:spacing w:before="312" w:beforeLines="100"/>
        <w:ind w:firstLine="3520" w:firstLineChars="1100"/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  <w:t>日期：       年    月    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880" w:firstLineChars="200"/>
        <w:jc w:val="center"/>
        <w:textAlignment w:val="auto"/>
        <w:outlineLvl w:val="9"/>
        <w:rPr>
          <w:rFonts w:hint="eastAsia" w:ascii="仿宋" w:hAnsi="仿宋" w:eastAsia="仿宋" w:cs="仿宋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浙江健康码申领使用有关说明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浙江健康码可通过两种途径申请办理。一是登录“浙里办”APP，进入首页“健康码专区”，在“浙江健康码申领”栏目下选择对应城市办理；二是支付宝首页搜索“浙江健康码”，选择对应城市办理。其中：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1.已注册“浙里办”APP或支付宝账号的用户，按照提示填写健康信息并作出承诺后，即可领取浙江健康码。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2.持有外省（市）健康码，且未申领浙江健康码的用户，通过“浙里办”APP首页-“健康码专区”-“跨省互认健康码申领”，无需填写信息即可领取跨省互认健康码。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3.自境外入浙（返浙）人员，通过“浙里办”APP首页-“健康码专区”-“国际健康码申领”，输入手机号、验证码后即可领取国际健康码。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如有疑问，可拨打咨询电话：（区号）12345。</w:t>
      </w:r>
    </w:p>
    <w:p>
      <w:pPr>
        <w:rPr>
          <w:color w:val="auto"/>
        </w:rPr>
      </w:pPr>
    </w:p>
    <w:p>
      <w:pPr>
        <w:rPr>
          <w:color w:val="auto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20D4812"/>
    <w:rsid w:val="6DD16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5">
    <w:name w:val="Table Grid"/>
    <w:basedOn w:val="4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List Paragraph"/>
    <w:basedOn w:val="1"/>
    <w:qFormat/>
    <w:uiPriority w:val="34"/>
    <w:pPr>
      <w:ind w:firstLine="420" w:firstLineChars="200"/>
    </w:pPr>
    <w:rPr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Office_10.8.0.6157_F1E327BC-269C-435d-A152-05C5408002CA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hp</dc:creator>
  <cp:lastModifiedBy>hp</cp:lastModifiedBy>
  <dcterms:modified xsi:type="dcterms:W3CDTF">2020-10-27T06:00:52Z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</Properties>
</file>