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DDDDDD"/>
        <w:spacing w:before="0" w:beforeAutospacing="0" w:after="305" w:afterAutospacing="0" w:line="240" w:lineRule="auto"/>
        <w:ind w:left="0" w:right="0" w:firstLine="0"/>
        <w:jc w:val="left"/>
        <w:rPr>
          <w:rFonts w:hint="eastAsia" w:ascii="宋体" w:hAnsi="宋体" w:eastAsia="宋体" w:cs="宋体"/>
          <w:b w:val="0"/>
          <w:i w:val="0"/>
          <w:caps w:val="0"/>
          <w:color w:val="DDDDDD"/>
          <w:spacing w:val="0"/>
          <w:sz w:val="19"/>
          <w:szCs w:val="19"/>
        </w:rPr>
      </w:pPr>
      <w:r>
        <w:pict>
          <v:rect id="_x0000_i1025" o:spt="1" style="height:1.5pt;width:682.5pt;" fillcolor="#DDDDDD" filled="t" stroked="f" coordsize="21600,21600" o:hr="t" o:hrstd="t" o:hrnoshade="t" o:hrpct="0" o:hralign="center">
            <v:path/>
            <v:fill on="t" focussize="0,0"/>
            <v:stroke on="f"/>
            <v:imagedata o:title=""/>
            <o:lock v:ext="edit"/>
            <w10:wrap type="none"/>
            <w10:anchorlock/>
          </v:rect>
        </w:pict>
      </w:r>
    </w:p>
    <w:tbl>
      <w:tblPr>
        <w:tblW w:w="12360" w:type="dxa"/>
        <w:tblInd w:w="0" w:type="dxa"/>
        <w:shd w:val="clear"/>
        <w:tblLayout w:type="fixed"/>
        <w:tblCellMar>
          <w:top w:w="0" w:type="dxa"/>
          <w:left w:w="0" w:type="dxa"/>
          <w:bottom w:w="0" w:type="dxa"/>
          <w:right w:w="0" w:type="dxa"/>
        </w:tblCellMar>
      </w:tblPr>
      <w:tblGrid>
        <w:gridCol w:w="1080"/>
        <w:gridCol w:w="1080"/>
        <w:gridCol w:w="1840"/>
        <w:gridCol w:w="1080"/>
        <w:gridCol w:w="1080"/>
        <w:gridCol w:w="580"/>
        <w:gridCol w:w="1780"/>
        <w:gridCol w:w="620"/>
        <w:gridCol w:w="640"/>
        <w:gridCol w:w="660"/>
        <w:gridCol w:w="840"/>
        <w:gridCol w:w="1080"/>
      </w:tblGrid>
      <w:tr>
        <w:tblPrEx>
          <w:shd w:val="clear"/>
          <w:tblLayout w:type="fixed"/>
          <w:tblCellMar>
            <w:top w:w="0" w:type="dxa"/>
            <w:left w:w="0" w:type="dxa"/>
            <w:bottom w:w="0" w:type="dxa"/>
            <w:right w:w="0" w:type="dxa"/>
          </w:tblCellMar>
        </w:tblPrEx>
        <w:trPr>
          <w:trHeight w:val="750" w:hRule="atLeast"/>
        </w:trPr>
        <w:tc>
          <w:tcPr>
            <w:tcW w:w="12360" w:type="dxa"/>
            <w:gridSpan w:val="12"/>
            <w:tcBorders>
              <w:top w:val="nil"/>
              <w:left w:val="nil"/>
              <w:bottom w:val="single" w:color="auto" w:sz="4" w:space="0"/>
              <w:right w:val="nil"/>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36"/>
                <w:szCs w:val="36"/>
                <w:bdr w:val="none" w:color="auto" w:sz="0" w:space="0"/>
                <w:vertAlign w:val="baseline"/>
                <w:lang w:val="en-US" w:eastAsia="zh-CN" w:bidi="ar"/>
              </w:rPr>
              <w:t>2017年春季泉州市城乡规划局总工程师办公室公开招聘编制内工作人员综合成绩及排名</w:t>
            </w:r>
          </w:p>
        </w:tc>
      </w:tr>
      <w:tr>
        <w:tblPrEx>
          <w:tblLayout w:type="fixed"/>
        </w:tblPrEx>
        <w:trPr>
          <w:trHeight w:val="360" w:hRule="atLeast"/>
        </w:trPr>
        <w:tc>
          <w:tcPr>
            <w:tcW w:w="1080"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1主管部门</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单位代码</w:t>
            </w:r>
          </w:p>
        </w:tc>
        <w:tc>
          <w:tcPr>
            <w:tcW w:w="18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单位名称</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岗位代码</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岗位名称</w:t>
            </w:r>
          </w:p>
        </w:tc>
        <w:tc>
          <w:tcPr>
            <w:tcW w:w="5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招收人数</w:t>
            </w:r>
          </w:p>
        </w:tc>
        <w:tc>
          <w:tcPr>
            <w:tcW w:w="17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准考证</w:t>
            </w:r>
          </w:p>
        </w:tc>
        <w:tc>
          <w:tcPr>
            <w:tcW w:w="62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笔试成绩</w:t>
            </w:r>
          </w:p>
        </w:tc>
        <w:tc>
          <w:tcPr>
            <w:tcW w:w="6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面试成绩</w:t>
            </w:r>
          </w:p>
        </w:tc>
        <w:tc>
          <w:tcPr>
            <w:tcW w:w="66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综合成绩</w:t>
            </w:r>
          </w:p>
        </w:tc>
        <w:tc>
          <w:tcPr>
            <w:tcW w:w="8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排名</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Style w:val="3"/>
                <w:rFonts w:ascii="宋体" w:hAnsi="宋体" w:eastAsia="宋体" w:cs="宋体"/>
                <w:b/>
                <w:kern w:val="0"/>
                <w:sz w:val="20"/>
                <w:szCs w:val="20"/>
                <w:bdr w:val="none" w:color="auto" w:sz="0" w:space="0"/>
                <w:vertAlign w:val="baseline"/>
                <w:lang w:val="en-US" w:eastAsia="zh-CN" w:bidi="ar"/>
              </w:rPr>
              <w:t>备注</w:t>
            </w:r>
          </w:p>
        </w:tc>
      </w:tr>
      <w:tr>
        <w:tblPrEx>
          <w:tblLayout w:type="fixed"/>
          <w:tblCellMar>
            <w:top w:w="0" w:type="dxa"/>
            <w:left w:w="0" w:type="dxa"/>
            <w:bottom w:w="0" w:type="dxa"/>
            <w:right w:w="0"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5 泉州市城乡规划局</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0501</w:t>
            </w:r>
          </w:p>
        </w:tc>
        <w:tc>
          <w:tcPr>
            <w:tcW w:w="18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泉州市城乡规划局总工程师办公室</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01</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管理（文字综合）</w:t>
            </w:r>
          </w:p>
        </w:tc>
        <w:tc>
          <w:tcPr>
            <w:tcW w:w="5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1</w:t>
            </w:r>
          </w:p>
        </w:tc>
        <w:tc>
          <w:tcPr>
            <w:tcW w:w="17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101050101009526</w:t>
            </w:r>
          </w:p>
        </w:tc>
        <w:tc>
          <w:tcPr>
            <w:tcW w:w="62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67.7</w:t>
            </w:r>
          </w:p>
        </w:tc>
        <w:tc>
          <w:tcPr>
            <w:tcW w:w="6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80.8</w:t>
            </w:r>
          </w:p>
        </w:tc>
        <w:tc>
          <w:tcPr>
            <w:tcW w:w="66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74.25</w:t>
            </w:r>
          </w:p>
        </w:tc>
        <w:tc>
          <w:tcPr>
            <w:tcW w:w="8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1</w:t>
            </w:r>
          </w:p>
        </w:tc>
        <w:tc>
          <w:tcPr>
            <w:tcW w:w="1080" w:type="dxa"/>
            <w:vMerge w:val="restart"/>
            <w:tcBorders>
              <w:top w:val="nil"/>
              <w:left w:val="single" w:color="auto" w:sz="4" w:space="0"/>
              <w:bottom w:val="single" w:color="000000"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笔试面试折算比例5:5</w:t>
            </w:r>
          </w:p>
        </w:tc>
      </w:tr>
      <w:tr>
        <w:tblPrEx>
          <w:tblLayout w:type="fixed"/>
          <w:tblCellMar>
            <w:top w:w="0" w:type="dxa"/>
            <w:left w:w="0" w:type="dxa"/>
            <w:bottom w:w="0" w:type="dxa"/>
            <w:right w:w="0"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5 泉州市城乡规划局</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0501</w:t>
            </w:r>
          </w:p>
        </w:tc>
        <w:tc>
          <w:tcPr>
            <w:tcW w:w="18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泉州市城乡规划局总工程师办公室</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01</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管理（文字综合）</w:t>
            </w:r>
          </w:p>
        </w:tc>
        <w:tc>
          <w:tcPr>
            <w:tcW w:w="5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1</w:t>
            </w:r>
          </w:p>
        </w:tc>
        <w:tc>
          <w:tcPr>
            <w:tcW w:w="17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101050101004489</w:t>
            </w:r>
          </w:p>
        </w:tc>
        <w:tc>
          <w:tcPr>
            <w:tcW w:w="62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66.1</w:t>
            </w:r>
          </w:p>
        </w:tc>
        <w:tc>
          <w:tcPr>
            <w:tcW w:w="6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80.4</w:t>
            </w:r>
          </w:p>
        </w:tc>
        <w:tc>
          <w:tcPr>
            <w:tcW w:w="66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73.25</w:t>
            </w:r>
          </w:p>
        </w:tc>
        <w:tc>
          <w:tcPr>
            <w:tcW w:w="8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2</w:t>
            </w:r>
          </w:p>
        </w:tc>
        <w:tc>
          <w:tcPr>
            <w:tcW w:w="1080" w:type="dxa"/>
            <w:vMerge w:val="continue"/>
            <w:tcBorders>
              <w:top w:val="nil"/>
              <w:left w:val="single" w:color="auto" w:sz="4" w:space="0"/>
              <w:bottom w:val="single" w:color="000000" w:sz="4" w:space="0"/>
              <w:right w:val="single" w:color="auto" w:sz="4" w:space="0"/>
            </w:tcBorders>
            <w:shd w:val="clear"/>
            <w:vAlign w:val="top"/>
          </w:tcPr>
          <w:p>
            <w:pPr>
              <w:rPr>
                <w:rFonts w:hint="eastAsia" w:ascii="宋体"/>
                <w:sz w:val="24"/>
                <w:szCs w:val="24"/>
                <w:vertAlign w:val="baseline"/>
              </w:rPr>
            </w:pPr>
          </w:p>
        </w:tc>
      </w:tr>
      <w:tr>
        <w:tblPrEx>
          <w:tblLayout w:type="fixed"/>
          <w:tblCellMar>
            <w:top w:w="0" w:type="dxa"/>
            <w:left w:w="0" w:type="dxa"/>
            <w:bottom w:w="0" w:type="dxa"/>
            <w:right w:w="0"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5 泉州市城乡规划局</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0501</w:t>
            </w:r>
          </w:p>
        </w:tc>
        <w:tc>
          <w:tcPr>
            <w:tcW w:w="18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泉州市城乡规划局总工程师办公室</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01</w:t>
            </w:r>
          </w:p>
        </w:tc>
        <w:tc>
          <w:tcPr>
            <w:tcW w:w="10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管理（文字综合）</w:t>
            </w:r>
          </w:p>
        </w:tc>
        <w:tc>
          <w:tcPr>
            <w:tcW w:w="5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1</w:t>
            </w:r>
          </w:p>
        </w:tc>
        <w:tc>
          <w:tcPr>
            <w:tcW w:w="178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101050101000378</w:t>
            </w:r>
          </w:p>
        </w:tc>
        <w:tc>
          <w:tcPr>
            <w:tcW w:w="62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69.2</w:t>
            </w:r>
          </w:p>
        </w:tc>
        <w:tc>
          <w:tcPr>
            <w:tcW w:w="6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75.1</w:t>
            </w:r>
          </w:p>
        </w:tc>
        <w:tc>
          <w:tcPr>
            <w:tcW w:w="66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72.15</w:t>
            </w:r>
          </w:p>
        </w:tc>
        <w:tc>
          <w:tcPr>
            <w:tcW w:w="840" w:type="dxa"/>
            <w:tcBorders>
              <w:top w:val="nil"/>
              <w:left w:val="nil"/>
              <w:bottom w:val="single" w:color="auto" w:sz="4" w:space="0"/>
              <w:right w:val="single" w:color="auto" w:sz="4" w:space="0"/>
            </w:tcBorders>
            <w:shd w:val="clear"/>
            <w:vAlign w:val="top"/>
          </w:tcPr>
          <w:p>
            <w:pPr>
              <w:keepNext w:val="0"/>
              <w:keepLines w:val="0"/>
              <w:widowControl/>
              <w:suppressLineNumbers w:val="0"/>
              <w:jc w:val="left"/>
              <w:textAlignment w:val="baseline"/>
            </w:pPr>
            <w:r>
              <w:rPr>
                <w:rFonts w:ascii="宋体" w:hAnsi="宋体" w:eastAsia="宋体" w:cs="宋体"/>
                <w:kern w:val="0"/>
                <w:sz w:val="20"/>
                <w:szCs w:val="20"/>
                <w:bdr w:val="none" w:color="auto" w:sz="0" w:space="0"/>
                <w:vertAlign w:val="baseline"/>
                <w:lang w:val="en-US" w:eastAsia="zh-CN" w:bidi="ar"/>
              </w:rPr>
              <w:t>3</w:t>
            </w:r>
          </w:p>
        </w:tc>
        <w:tc>
          <w:tcPr>
            <w:tcW w:w="1080" w:type="dxa"/>
            <w:vMerge w:val="continue"/>
            <w:tcBorders>
              <w:top w:val="nil"/>
              <w:left w:val="single" w:color="auto" w:sz="4" w:space="0"/>
              <w:bottom w:val="single" w:color="000000" w:sz="4" w:space="0"/>
              <w:right w:val="single" w:color="auto" w:sz="4" w:space="0"/>
            </w:tcBorders>
            <w:shd w:val="clear"/>
            <w:vAlign w:val="top"/>
          </w:tcPr>
          <w:p>
            <w:pPr>
              <w:rPr>
                <w:rFonts w:hint="eastAsia" w:ascii="宋体"/>
                <w:sz w:val="24"/>
                <w:szCs w:val="24"/>
                <w:vertAlign w:val="baseline"/>
              </w:rPr>
            </w:pPr>
          </w:p>
        </w:tc>
      </w:tr>
    </w:tbl>
    <w:p>
      <w:pPr>
        <w:keepNext w:val="0"/>
        <w:keepLines w:val="0"/>
        <w:widowControl/>
        <w:suppressLineNumbers w:val="0"/>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6F23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2017-07-25T06:43:27Z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