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13" w:lineRule="atLeast"/>
        <w:ind w:left="0" w:firstLine="463"/>
      </w:pPr>
      <w:r>
        <w:rPr>
          <w:rStyle w:val="4"/>
          <w:rFonts w:ascii="仿宋" w:hAnsi="仿宋" w:eastAsia="仿宋" w:cs="仿宋"/>
          <w:b/>
          <w:sz w:val="23"/>
          <w:szCs w:val="23"/>
        </w:rPr>
        <w:t>招聘专业及人数</w:t>
      </w:r>
    </w:p>
    <w:p>
      <w:pPr>
        <w:pStyle w:val="2"/>
        <w:keepNext w:val="0"/>
        <w:keepLines w:val="0"/>
        <w:widowControl/>
        <w:suppressLineNumbers w:val="0"/>
        <w:spacing w:line="413" w:lineRule="atLeast"/>
        <w:ind w:left="0" w:firstLine="463"/>
      </w:pPr>
      <w:r>
        <w:rPr>
          <w:rStyle w:val="4"/>
          <w:rFonts w:hint="eastAsia" w:ascii="仿宋" w:hAnsi="仿宋" w:eastAsia="仿宋" w:cs="仿宋"/>
          <w:b/>
          <w:sz w:val="23"/>
          <w:szCs w:val="23"/>
        </w:rPr>
        <w:t>    </w:t>
      </w:r>
    </w:p>
    <w:tbl>
      <w:tblPr>
        <w:tblW w:w="758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1829"/>
        <w:gridCol w:w="1560"/>
        <w:gridCol w:w="916"/>
        <w:gridCol w:w="759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tblCellSpacing w:w="15" w:type="dxa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需求专业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研究方向要求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是否紧缺专业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需求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机电工程学院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高电压与绝缘技术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电力系统及其自动化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电机与电器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电工理论与新技术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新能源技术方向优先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机械电子工程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车辆工程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精密机械及仪器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测试计量技术及仪器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控制理论与控制工程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检测技术与自动化装置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工业自动化方向优先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生物医学工程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光学工程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信息工程学院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模式识别与智能系统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物联网、大数据及机器人相关技术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本科为电子科学与技术类专业毕业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通信与信息系统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信号与信息处理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计算机系统结构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计算机软件与理论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计算机应用技术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计算机应用技术、计算机软件与理论、金融大数据方向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电子科学与技术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环境与生物工程学院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植物学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与重点实验室研究方向相关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 xml:space="preserve">是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（1）发表的学术论文中SCI收录篇数多于3篇；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（2）发表的论文中按照中科院期刊分区，1区的一篇或者2区的两篇以上。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分析化学或物理化学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与重点实验室研究方向相关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 xml:space="preserve">是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材料物理与化学</w:t>
            </w:r>
            <w:r>
              <w:rPr>
                <w:rFonts w:ascii="Arial" w:hAnsi="Arial" w:cs="Arial"/>
                <w:color w:val="333333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或材料学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与重点实验室研究方向相关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 xml:space="preserve">是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农产品加工及贮藏工程</w:t>
            </w:r>
            <w:r>
              <w:rPr>
                <w:rFonts w:hint="default" w:ascii="Arial" w:hAnsi="Arial" w:cs="Arial"/>
                <w:color w:val="333333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或</w:t>
            </w:r>
            <w:r>
              <w:rPr>
                <w:rFonts w:hint="default" w:ascii="Arial" w:hAnsi="Arial" w:cs="Arial"/>
                <w:color w:val="333333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食品科学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 xml:space="preserve">是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土木工程学院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结构工程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防灾减灾工程及防护工程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桥梁与隧道工程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建筑设计及其理论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城市规划与设计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管理科学与工程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土木工程方向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</w:rPr>
              <w:t>土木工程、建筑学、力学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本科为土木工程、工程管理、工程造价、城乡规划专业或相近专业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旅游管理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酒店管理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人力资源管理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公共管理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社会医学与卫生事业管理方向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4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商学院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电子商务及相关专业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跨境电商、网络营销、网络产品规划、企业信息化和网店运营等方向</w:t>
            </w:r>
          </w:p>
        </w:tc>
        <w:tc>
          <w:tcPr>
            <w:tcW w:w="8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公司治理、公司财务和审计等方向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企业管理（含：财务管理、市场营销）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医学部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基础医学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人体解剖和组织胚胎学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本科是临床医学专业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基础医学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免疫学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本科是临床医学专业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基础医学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病原生物学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本科是临床医学专业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公共卫生与预防医学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流行病与卫生统计学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本科是临床医学专业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公共卫生与预防医学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劳动卫生与环境卫生学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本科是临床医学专业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基础医学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本科是临床医学专业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15" w:type="dxa"/>
        </w:trPr>
        <w:tc>
          <w:tcPr>
            <w:tcW w:w="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 xml:space="preserve">学院 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 xml:space="preserve">是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药学与医学技术学院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药理学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本科为药学专业或医学背景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临床检验诊断学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本科为临床医学或医学检验（技术）专业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影像医学与核医学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本科为医学背景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法医学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本科为法医学、临床医学或医学检验（技术）专业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放射医学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本科为医学背景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药学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本科为药学专业背景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基础医学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本科为临床医学或医学检验（技术）专业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本科为临床医学或医学检验（技术）专业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本科为医学背景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数学与金融学院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金融学（含∶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保险学）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数量经济学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金融数学方向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统计学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金融统计方向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基础数学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数论、组合数学、几何分析、偏微分方程优先考虑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概率论与数理统计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计算数学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运筹学与控制论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金融数学方向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tblCellSpacing w:w="15" w:type="dxa"/>
        </w:trPr>
        <w:tc>
          <w:tcPr>
            <w:tcW w:w="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文化与传播学院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新闻传播学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数据挖掘或网络与新媒体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6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商务英语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翻译、电子商务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男性优先考虑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音乐学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音乐理论方向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音乐学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合唱指挥或交响乐指挥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工艺美术学院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设计艺术学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工艺美术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设计艺术学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环境设计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设计艺术学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视觉传达设计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体育教育训练学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跆拳道、户外、网球或其他小球类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体育人文社会学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体育产业、体育经济、体育管理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CellSpacing w:w="15" w:type="dxa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马克思主义学院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马克思主义理论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必须为中共党员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法学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政治学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教育学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15" w:type="dxa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心理学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基础教育学院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学前教育学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全日制毕业40周岁以下（含40周岁）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7"/>
                <w:szCs w:val="17"/>
                <w:bdr w:val="none" w:color="auto" w:sz="0" w:space="0"/>
              </w:rPr>
              <w:t>教育学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课程与教学论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985或211院校毕业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妈祖文化研究院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社会学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应用社会学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有妈祖文化研究经历优先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15" w:type="dxa"/>
        </w:trPr>
        <w:tc>
          <w:tcPr>
            <w:tcW w:w="6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color w:val="333333"/>
                <w:sz w:val="17"/>
                <w:szCs w:val="17"/>
                <w:bdr w:val="none" w:color="auto" w:sz="0" w:space="0"/>
              </w:rPr>
              <w:t>民俗学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遗产传承与保护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有妈祖文化研究经历优先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7AF5"/>
    <w:rsid w:val="477D7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2018-02-01T11:51:00Z</dcterms:created>
  <dc:creator>ASUS</dc:creator>
  <cp:lastModifiedBy>ASUS</cp:lastModifiedBy>
  <dcterms:modified xsi:type="dcterms:W3CDTF">2018-02-01T11:51:16Z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