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5FAFF"/>
          <w:lang w:val="en-US" w:eastAsia="zh-CN" w:bidi="ar"/>
        </w:rPr>
        <w:t>参加面试人员面试成绩及总分</w:t>
      </w:r>
    </w:p>
    <w:tbl>
      <w:tblPr>
        <w:tblW w:w="8387" w:type="dxa"/>
        <w:jc w:val="center"/>
        <w:tblInd w:w="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396"/>
        <w:gridCol w:w="3323"/>
        <w:gridCol w:w="1488"/>
        <w:gridCol w:w="1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（百分制）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柳馨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办公室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84.33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陈梅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办公室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84.36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75.78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方恺姣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办公室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80.83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72.52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汪树根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赈济救护部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陈以理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赈济救护部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姚兴勇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赈济救护部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83.53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吴流彬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对台交流和事业发展部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黄鑫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对台交流和事业发展部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王智峰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对台交流和事业发展部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总分=笔试成绩*50%+面试成绩*50%。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7E86"/>
    <w:rsid w:val="49547E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2018-06-06T08:29:00Z</dcterms:created>
  <dc:creator>ASUS</dc:creator>
  <cp:lastModifiedBy>ASUS</cp:lastModifiedBy>
  <dcterms:modified xsi:type="dcterms:W3CDTF">2018-06-06T08:29:13Z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