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</w:rPr>
        <w:t>具体名额分配如下：</w:t>
      </w:r>
    </w:p>
    <w:tbl>
      <w:tblPr>
        <w:tblW w:w="8303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20"/>
        <w:gridCol w:w="1020"/>
        <w:gridCol w:w="1035"/>
        <w:gridCol w:w="42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9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村主干（4名）</w:t>
            </w:r>
          </w:p>
        </w:tc>
        <w:tc>
          <w:tcPr>
            <w:tcW w:w="4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社区主干（6名）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集美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海沧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同安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翔安</w:t>
            </w:r>
          </w:p>
        </w:tc>
        <w:tc>
          <w:tcPr>
            <w:tcW w:w="42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面向全市符合资格条件的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社区主干招聘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1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-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</w:pPr>
            <w:r>
              <w:rPr>
                <w:bdr w:val="none" w:color="auto" w:sz="0" w:space="0"/>
              </w:rPr>
              <w:t>　　1</w:t>
            </w:r>
          </w:p>
        </w:tc>
        <w:tc>
          <w:tcPr>
            <w:tcW w:w="42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A0D94"/>
    <w:rsid w:val="33BA0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2018-03-06T12:08:00Z</dcterms:created>
  <dc:creator>ASUS</dc:creator>
  <cp:lastModifiedBy>ASUS</cp:lastModifiedBy>
  <dcterms:modified xsi:type="dcterms:W3CDTF">2018-03-06T12:08:59Z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